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065A0" w14:textId="6F0C581D" w:rsidR="00BE02F7" w:rsidRDefault="00BE02F7" w:rsidP="00ED6BE0">
      <w:pPr>
        <w:widowControl w:val="0"/>
        <w:autoSpaceDE w:val="0"/>
        <w:autoSpaceDN w:val="0"/>
        <w:adjustRightInd w:val="0"/>
        <w:spacing w:line="240" w:lineRule="auto"/>
        <w:jc w:val="center"/>
        <w:rPr>
          <w:rFonts w:ascii="Californian FB" w:hAnsi="Californian FB"/>
          <w:b/>
          <w:color w:val="000000"/>
          <w:sz w:val="44"/>
          <w:szCs w:val="44"/>
        </w:rPr>
      </w:pPr>
    </w:p>
    <w:p w14:paraId="479D4054" w14:textId="77777777" w:rsidR="00F958E7" w:rsidRPr="00F37744" w:rsidRDefault="00F958E7" w:rsidP="00ED6BE0">
      <w:pPr>
        <w:widowControl w:val="0"/>
        <w:autoSpaceDE w:val="0"/>
        <w:autoSpaceDN w:val="0"/>
        <w:adjustRightInd w:val="0"/>
        <w:spacing w:line="240" w:lineRule="auto"/>
        <w:jc w:val="center"/>
        <w:rPr>
          <w:rFonts w:ascii="Californian FB" w:hAnsi="Californian FB"/>
          <w:b/>
          <w:color w:val="000000"/>
          <w:sz w:val="44"/>
          <w:szCs w:val="44"/>
        </w:rPr>
      </w:pPr>
    </w:p>
    <w:p w14:paraId="50276CE9" w14:textId="77777777"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44"/>
          <w:szCs w:val="44"/>
        </w:rPr>
      </w:pPr>
    </w:p>
    <w:p w14:paraId="138A12EB" w14:textId="77777777"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44"/>
          <w:szCs w:val="44"/>
        </w:rPr>
      </w:pPr>
    </w:p>
    <w:p w14:paraId="330486E8" w14:textId="77777777"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44"/>
          <w:szCs w:val="44"/>
        </w:rPr>
      </w:pPr>
      <w:r w:rsidRPr="00F37744">
        <w:rPr>
          <w:rFonts w:ascii="Californian FB" w:hAnsi="Californian FB"/>
          <w:b/>
          <w:color w:val="000000"/>
          <w:sz w:val="44"/>
          <w:szCs w:val="44"/>
        </w:rPr>
        <w:t>COPYRIGHT:</w:t>
      </w:r>
    </w:p>
    <w:p w14:paraId="4FB83B56" w14:textId="77777777" w:rsidR="00BE02F7" w:rsidRPr="00F37744" w:rsidRDefault="00BE02F7" w:rsidP="00ED6BE0">
      <w:pPr>
        <w:widowControl w:val="0"/>
        <w:autoSpaceDE w:val="0"/>
        <w:autoSpaceDN w:val="0"/>
        <w:adjustRightInd w:val="0"/>
        <w:spacing w:line="240" w:lineRule="auto"/>
        <w:jc w:val="center"/>
        <w:rPr>
          <w:rFonts w:ascii="Californian FB" w:hAnsi="Californian FB"/>
          <w:b/>
          <w:i/>
          <w:color w:val="000000"/>
          <w:sz w:val="32"/>
          <w:szCs w:val="32"/>
        </w:rPr>
      </w:pPr>
      <w:r w:rsidRPr="00F37744">
        <w:rPr>
          <w:rFonts w:ascii="Californian FB" w:hAnsi="Californian FB"/>
          <w:b/>
          <w:i/>
          <w:color w:val="000000"/>
          <w:sz w:val="32"/>
          <w:szCs w:val="32"/>
        </w:rPr>
        <w:t>A Contemporary Approach</w:t>
      </w:r>
    </w:p>
    <w:p w14:paraId="69C92FE6" w14:textId="7B9CA31D" w:rsidR="00BE02F7" w:rsidRPr="00BE02F7" w:rsidRDefault="00BE02F7" w:rsidP="00ED6BE0">
      <w:pPr>
        <w:widowControl w:val="0"/>
        <w:autoSpaceDE w:val="0"/>
        <w:autoSpaceDN w:val="0"/>
        <w:adjustRightInd w:val="0"/>
        <w:spacing w:line="240" w:lineRule="auto"/>
        <w:jc w:val="center"/>
        <w:rPr>
          <w:rFonts w:ascii="Californian FB" w:hAnsi="Californian FB"/>
          <w:b/>
          <w:color w:val="000000" w:themeColor="text1"/>
          <w:sz w:val="32"/>
          <w:szCs w:val="32"/>
        </w:rPr>
      </w:pPr>
      <w:r w:rsidRPr="00BE02F7">
        <w:rPr>
          <w:rFonts w:ascii="Californian FB" w:hAnsi="Californian FB"/>
          <w:b/>
          <w:color w:val="000000" w:themeColor="text1"/>
          <w:sz w:val="32"/>
          <w:szCs w:val="32"/>
        </w:rPr>
        <w:t>Second Edition</w:t>
      </w:r>
    </w:p>
    <w:p w14:paraId="432A7EA7" w14:textId="77777777" w:rsidR="00BE02F7" w:rsidRPr="00BE02F7" w:rsidRDefault="00BE02F7" w:rsidP="00ED6BE0">
      <w:pPr>
        <w:widowControl w:val="0"/>
        <w:autoSpaceDE w:val="0"/>
        <w:autoSpaceDN w:val="0"/>
        <w:adjustRightInd w:val="0"/>
        <w:spacing w:line="240" w:lineRule="auto"/>
        <w:jc w:val="center"/>
        <w:rPr>
          <w:rFonts w:ascii="Californian FB" w:hAnsi="Californian FB"/>
          <w:b/>
          <w:color w:val="000000" w:themeColor="text1"/>
          <w:sz w:val="36"/>
          <w:szCs w:val="44"/>
        </w:rPr>
      </w:pPr>
    </w:p>
    <w:p w14:paraId="663F8CB4" w14:textId="64933D29" w:rsidR="00BE02F7" w:rsidRDefault="00BE02F7" w:rsidP="00ED6BE0">
      <w:pPr>
        <w:widowControl w:val="0"/>
        <w:autoSpaceDE w:val="0"/>
        <w:autoSpaceDN w:val="0"/>
        <w:adjustRightInd w:val="0"/>
        <w:spacing w:line="240" w:lineRule="auto"/>
        <w:jc w:val="center"/>
        <w:rPr>
          <w:rFonts w:ascii="Californian FB" w:hAnsi="Californian FB"/>
          <w:b/>
          <w:color w:val="000000"/>
          <w:sz w:val="32"/>
          <w:szCs w:val="32"/>
        </w:rPr>
      </w:pPr>
      <w:r w:rsidRPr="00F37744">
        <w:rPr>
          <w:rFonts w:ascii="Californian FB" w:hAnsi="Californian FB"/>
          <w:b/>
          <w:color w:val="000000"/>
          <w:sz w:val="32"/>
          <w:szCs w:val="32"/>
        </w:rPr>
        <w:t>Robert Brauneis</w:t>
      </w:r>
    </w:p>
    <w:p w14:paraId="7F9E3405" w14:textId="379ABF81" w:rsidR="00547BD1" w:rsidRPr="00F37744" w:rsidRDefault="00547BD1" w:rsidP="00ED6BE0">
      <w:pPr>
        <w:widowControl w:val="0"/>
        <w:autoSpaceDE w:val="0"/>
        <w:autoSpaceDN w:val="0"/>
        <w:adjustRightInd w:val="0"/>
        <w:spacing w:line="240" w:lineRule="auto"/>
        <w:jc w:val="center"/>
        <w:rPr>
          <w:rFonts w:ascii="Californian FB" w:hAnsi="Californian FB"/>
          <w:b/>
          <w:color w:val="000000"/>
          <w:sz w:val="32"/>
          <w:szCs w:val="32"/>
        </w:rPr>
      </w:pPr>
      <w:r>
        <w:rPr>
          <w:rFonts w:ascii="Californian FB" w:hAnsi="Californian FB"/>
          <w:b/>
          <w:color w:val="000000"/>
          <w:sz w:val="32"/>
          <w:szCs w:val="32"/>
        </w:rPr>
        <w:t>Roger Schechter</w:t>
      </w:r>
    </w:p>
    <w:p w14:paraId="0B0E7A5B" w14:textId="77777777"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36"/>
          <w:szCs w:val="36"/>
        </w:rPr>
      </w:pPr>
    </w:p>
    <w:p w14:paraId="4578A6A9" w14:textId="77777777"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36"/>
          <w:szCs w:val="36"/>
        </w:rPr>
      </w:pPr>
    </w:p>
    <w:p w14:paraId="409E84AD" w14:textId="66616F6E" w:rsidR="00BE02F7" w:rsidRPr="00F37744" w:rsidRDefault="00BE02F7" w:rsidP="00ED6BE0">
      <w:pPr>
        <w:widowControl w:val="0"/>
        <w:autoSpaceDE w:val="0"/>
        <w:autoSpaceDN w:val="0"/>
        <w:adjustRightInd w:val="0"/>
        <w:spacing w:line="240" w:lineRule="auto"/>
        <w:jc w:val="center"/>
        <w:rPr>
          <w:rFonts w:ascii="Californian FB" w:hAnsi="Californian FB"/>
          <w:b/>
          <w:color w:val="000000"/>
          <w:sz w:val="36"/>
          <w:szCs w:val="36"/>
        </w:rPr>
      </w:pPr>
      <w:r w:rsidRPr="00F37744">
        <w:rPr>
          <w:rFonts w:ascii="Californian FB" w:hAnsi="Californian FB"/>
          <w:b/>
          <w:color w:val="000000"/>
          <w:sz w:val="36"/>
          <w:szCs w:val="36"/>
        </w:rPr>
        <w:t>Fall 20</w:t>
      </w:r>
      <w:r w:rsidR="005C7CA5">
        <w:rPr>
          <w:rFonts w:ascii="Californian FB" w:hAnsi="Californian FB"/>
          <w:b/>
          <w:color w:val="000000"/>
          <w:sz w:val="36"/>
          <w:szCs w:val="36"/>
        </w:rPr>
        <w:t>2</w:t>
      </w:r>
      <w:r w:rsidR="00FD1DC5">
        <w:rPr>
          <w:rFonts w:ascii="Californian FB" w:hAnsi="Californian FB"/>
          <w:b/>
          <w:color w:val="000000"/>
          <w:sz w:val="36"/>
          <w:szCs w:val="36"/>
        </w:rPr>
        <w:t>2</w:t>
      </w:r>
      <w:r w:rsidRPr="00F37744">
        <w:rPr>
          <w:rFonts w:ascii="Californian FB" w:hAnsi="Californian FB"/>
          <w:b/>
          <w:color w:val="000000"/>
          <w:sz w:val="36"/>
          <w:szCs w:val="36"/>
        </w:rPr>
        <w:t xml:space="preserve"> Supplement</w:t>
      </w:r>
    </w:p>
    <w:p w14:paraId="1C54AE2D"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77AAB934"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6B8FFD51"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0DF60F54"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33B6C995"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06601839"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2F8DF3F0"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73D3FE9F"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26DC220F"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66135C82"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0FD0D6DF" w14:textId="77777777" w:rsidR="00BE02F7" w:rsidRPr="00F37744" w:rsidRDefault="00BE02F7" w:rsidP="00ED6BE0">
      <w:pPr>
        <w:widowControl w:val="0"/>
        <w:autoSpaceDE w:val="0"/>
        <w:autoSpaceDN w:val="0"/>
        <w:adjustRightInd w:val="0"/>
        <w:spacing w:line="240" w:lineRule="auto"/>
        <w:rPr>
          <w:rFonts w:ascii="Californian FB" w:hAnsi="Californian FB"/>
          <w:b/>
          <w:i/>
          <w:color w:val="3932CC"/>
          <w:sz w:val="28"/>
          <w:szCs w:val="28"/>
        </w:rPr>
      </w:pPr>
    </w:p>
    <w:p w14:paraId="05BD41F2" w14:textId="571A0DB5" w:rsidR="00FF1CD6" w:rsidRDefault="00BE02F7" w:rsidP="00400BBE">
      <w:pPr>
        <w:ind w:firstLine="360"/>
        <w:jc w:val="both"/>
        <w:rPr>
          <w:rFonts w:ascii="Californian FB" w:hAnsi="Californian FB"/>
          <w:iCs/>
          <w:sz w:val="24"/>
          <w:szCs w:val="24"/>
        </w:rPr>
      </w:pPr>
      <w:r w:rsidRPr="00587742">
        <w:rPr>
          <w:rFonts w:ascii="Californian FB" w:hAnsi="Californian FB"/>
          <w:sz w:val="24"/>
          <w:szCs w:val="24"/>
        </w:rPr>
        <w:lastRenderedPageBreak/>
        <w:t xml:space="preserve">This </w:t>
      </w:r>
      <w:r w:rsidR="00784649">
        <w:rPr>
          <w:rFonts w:ascii="Californian FB" w:hAnsi="Californian FB"/>
          <w:sz w:val="24"/>
          <w:szCs w:val="24"/>
        </w:rPr>
        <w:t>Fall 20</w:t>
      </w:r>
      <w:r w:rsidR="00B34CFD">
        <w:rPr>
          <w:rFonts w:ascii="Californian FB" w:hAnsi="Californian FB"/>
          <w:sz w:val="24"/>
          <w:szCs w:val="24"/>
        </w:rPr>
        <w:t>2</w:t>
      </w:r>
      <w:r w:rsidR="00BB0FF4">
        <w:rPr>
          <w:rFonts w:ascii="Californian FB" w:hAnsi="Californian FB"/>
          <w:sz w:val="24"/>
          <w:szCs w:val="24"/>
        </w:rPr>
        <w:t>2</w:t>
      </w:r>
      <w:r w:rsidR="00784649">
        <w:rPr>
          <w:rFonts w:ascii="Californian FB" w:hAnsi="Californian FB"/>
          <w:sz w:val="24"/>
          <w:szCs w:val="24"/>
        </w:rPr>
        <w:t xml:space="preserve"> </w:t>
      </w:r>
      <w:r w:rsidRPr="00587742">
        <w:rPr>
          <w:rFonts w:ascii="Californian FB" w:hAnsi="Californian FB"/>
          <w:sz w:val="24"/>
          <w:szCs w:val="24"/>
        </w:rPr>
        <w:t xml:space="preserve">Supplement </w:t>
      </w:r>
      <w:r>
        <w:rPr>
          <w:rFonts w:ascii="Californian FB" w:hAnsi="Californian FB"/>
          <w:sz w:val="24"/>
          <w:szCs w:val="24"/>
        </w:rPr>
        <w:t xml:space="preserve">is </w:t>
      </w:r>
      <w:r w:rsidR="00D85272">
        <w:rPr>
          <w:rFonts w:ascii="Californian FB" w:hAnsi="Californian FB"/>
          <w:sz w:val="24"/>
          <w:szCs w:val="24"/>
        </w:rPr>
        <w:t xml:space="preserve">the product of </w:t>
      </w:r>
      <w:r>
        <w:rPr>
          <w:rFonts w:ascii="Californian FB" w:hAnsi="Californian FB"/>
          <w:sz w:val="24"/>
          <w:szCs w:val="24"/>
        </w:rPr>
        <w:t xml:space="preserve">our effort to </w:t>
      </w:r>
      <w:r w:rsidRPr="00587742">
        <w:rPr>
          <w:rFonts w:ascii="Californian FB" w:hAnsi="Californian FB"/>
          <w:sz w:val="24"/>
          <w:szCs w:val="24"/>
        </w:rPr>
        <w:t xml:space="preserve">capture </w:t>
      </w:r>
      <w:r w:rsidR="00D85272">
        <w:rPr>
          <w:rFonts w:ascii="Californian FB" w:hAnsi="Californian FB"/>
          <w:sz w:val="24"/>
          <w:szCs w:val="24"/>
        </w:rPr>
        <w:t>important</w:t>
      </w:r>
      <w:r w:rsidRPr="00587742">
        <w:rPr>
          <w:rFonts w:ascii="Californian FB" w:hAnsi="Californian FB"/>
          <w:sz w:val="24"/>
          <w:szCs w:val="24"/>
        </w:rPr>
        <w:t xml:space="preserve"> developments in copyright law since the publication of the </w:t>
      </w:r>
      <w:r>
        <w:rPr>
          <w:rFonts w:ascii="Californian FB" w:hAnsi="Californian FB"/>
          <w:sz w:val="24"/>
          <w:szCs w:val="24"/>
        </w:rPr>
        <w:t xml:space="preserve">second edition of </w:t>
      </w:r>
      <w:r w:rsidRPr="00587742">
        <w:rPr>
          <w:rFonts w:ascii="Californian FB" w:hAnsi="Californian FB"/>
          <w:i/>
          <w:sz w:val="24"/>
          <w:szCs w:val="24"/>
        </w:rPr>
        <w:t>Copyright:  A Contemporary Approach</w:t>
      </w:r>
      <w:r w:rsidR="00260C60">
        <w:rPr>
          <w:rFonts w:ascii="Californian FB" w:hAnsi="Californian FB"/>
          <w:i/>
          <w:sz w:val="24"/>
          <w:szCs w:val="24"/>
        </w:rPr>
        <w:t xml:space="preserve">.  </w:t>
      </w:r>
      <w:r w:rsidR="00260C60">
        <w:rPr>
          <w:rFonts w:ascii="Californian FB" w:hAnsi="Californian FB"/>
          <w:iCs/>
          <w:sz w:val="24"/>
          <w:szCs w:val="24"/>
        </w:rPr>
        <w:t xml:space="preserve">It includes </w:t>
      </w:r>
      <w:r w:rsidR="009D3C36">
        <w:rPr>
          <w:rFonts w:ascii="Californian FB" w:hAnsi="Californian FB"/>
          <w:iCs/>
          <w:sz w:val="24"/>
          <w:szCs w:val="24"/>
        </w:rPr>
        <w:t>t</w:t>
      </w:r>
      <w:r w:rsidR="004B062C">
        <w:rPr>
          <w:rFonts w:ascii="Californian FB" w:hAnsi="Californian FB"/>
          <w:iCs/>
          <w:sz w:val="24"/>
          <w:szCs w:val="24"/>
        </w:rPr>
        <w:t xml:space="preserve">hree </w:t>
      </w:r>
      <w:r w:rsidR="00260C60">
        <w:rPr>
          <w:rFonts w:ascii="Californian FB" w:hAnsi="Californian FB"/>
          <w:iCs/>
          <w:sz w:val="24"/>
          <w:szCs w:val="24"/>
        </w:rPr>
        <w:t>new principal case</w:t>
      </w:r>
      <w:r w:rsidR="009D3C36">
        <w:rPr>
          <w:rFonts w:ascii="Californian FB" w:hAnsi="Californian FB"/>
          <w:iCs/>
          <w:sz w:val="24"/>
          <w:szCs w:val="24"/>
        </w:rPr>
        <w:t>s</w:t>
      </w:r>
      <w:r w:rsidR="00C24D16">
        <w:rPr>
          <w:rFonts w:ascii="Californian FB" w:hAnsi="Californian FB"/>
          <w:iCs/>
          <w:sz w:val="24"/>
          <w:szCs w:val="24"/>
        </w:rPr>
        <w:t>.</w:t>
      </w:r>
      <w:r w:rsidR="004B062C">
        <w:rPr>
          <w:rFonts w:ascii="Californian FB" w:hAnsi="Californian FB"/>
          <w:iCs/>
          <w:sz w:val="24"/>
          <w:szCs w:val="24"/>
        </w:rPr>
        <w:t xml:space="preserve"> </w:t>
      </w:r>
      <w:r w:rsidR="009D3C36">
        <w:rPr>
          <w:rFonts w:ascii="Californian FB" w:hAnsi="Californian FB"/>
          <w:iCs/>
          <w:sz w:val="24"/>
          <w:szCs w:val="24"/>
        </w:rPr>
        <w:t xml:space="preserve"> </w:t>
      </w:r>
      <w:r w:rsidR="00C24D16">
        <w:rPr>
          <w:rFonts w:ascii="Californian FB" w:hAnsi="Californian FB"/>
          <w:iCs/>
          <w:sz w:val="24"/>
          <w:szCs w:val="24"/>
        </w:rPr>
        <w:t xml:space="preserve">The first two are Supreme Court decisions: </w:t>
      </w:r>
      <w:r w:rsidR="009D3C36">
        <w:rPr>
          <w:rFonts w:ascii="Californian FB" w:hAnsi="Californian FB"/>
          <w:iCs/>
          <w:sz w:val="24"/>
          <w:szCs w:val="24"/>
        </w:rPr>
        <w:t xml:space="preserve">the </w:t>
      </w:r>
      <w:proofErr w:type="gramStart"/>
      <w:r w:rsidR="00260C60">
        <w:rPr>
          <w:rFonts w:ascii="Californian FB" w:hAnsi="Californian FB"/>
          <w:iCs/>
          <w:sz w:val="24"/>
          <w:szCs w:val="24"/>
        </w:rPr>
        <w:t>202</w:t>
      </w:r>
      <w:r w:rsidR="009D3C36">
        <w:rPr>
          <w:rFonts w:ascii="Californian FB" w:hAnsi="Californian FB"/>
          <w:iCs/>
          <w:sz w:val="24"/>
          <w:szCs w:val="24"/>
        </w:rPr>
        <w:t>1</w:t>
      </w:r>
      <w:r w:rsidR="00260C60">
        <w:rPr>
          <w:rFonts w:ascii="Californian FB" w:hAnsi="Californian FB"/>
          <w:iCs/>
          <w:sz w:val="24"/>
          <w:szCs w:val="24"/>
        </w:rPr>
        <w:t xml:space="preserve"> </w:t>
      </w:r>
      <w:r w:rsidR="004B062C">
        <w:rPr>
          <w:rFonts w:ascii="Californian FB" w:hAnsi="Californian FB"/>
          <w:iCs/>
          <w:sz w:val="24"/>
          <w:szCs w:val="24"/>
        </w:rPr>
        <w:t xml:space="preserve"> </w:t>
      </w:r>
      <w:r w:rsidR="009D3C36">
        <w:rPr>
          <w:rFonts w:ascii="Californian FB" w:hAnsi="Californian FB"/>
          <w:iCs/>
          <w:sz w:val="24"/>
          <w:szCs w:val="24"/>
        </w:rPr>
        <w:t>fair</w:t>
      </w:r>
      <w:proofErr w:type="gramEnd"/>
      <w:r w:rsidR="009D3C36">
        <w:rPr>
          <w:rFonts w:ascii="Californian FB" w:hAnsi="Californian FB"/>
          <w:iCs/>
          <w:sz w:val="24"/>
          <w:szCs w:val="24"/>
        </w:rPr>
        <w:t xml:space="preserve"> use </w:t>
      </w:r>
      <w:r w:rsidR="00260C60">
        <w:rPr>
          <w:rFonts w:ascii="Californian FB" w:hAnsi="Californian FB"/>
          <w:iCs/>
          <w:sz w:val="24"/>
          <w:szCs w:val="24"/>
        </w:rPr>
        <w:t xml:space="preserve">decision in </w:t>
      </w:r>
      <w:r w:rsidR="009D3C36" w:rsidRPr="009D3C36">
        <w:rPr>
          <w:rFonts w:ascii="Californian FB" w:hAnsi="Californian FB"/>
          <w:i/>
          <w:sz w:val="24"/>
          <w:szCs w:val="24"/>
        </w:rPr>
        <w:t>Google LLC v. Oracle America, Inc.</w:t>
      </w:r>
      <w:r w:rsidR="00400BBE">
        <w:rPr>
          <w:rFonts w:ascii="Californian FB" w:hAnsi="Californian FB"/>
          <w:i/>
          <w:sz w:val="24"/>
          <w:szCs w:val="24"/>
        </w:rPr>
        <w:t xml:space="preserve"> </w:t>
      </w:r>
      <w:r w:rsidR="00400BBE">
        <w:rPr>
          <w:rFonts w:ascii="Californian FB" w:hAnsi="Californian FB"/>
          <w:iCs/>
          <w:sz w:val="24"/>
          <w:szCs w:val="24"/>
        </w:rPr>
        <w:t>(p. 18)</w:t>
      </w:r>
      <w:r w:rsidR="009D3C36">
        <w:rPr>
          <w:rFonts w:ascii="Californian FB" w:hAnsi="Californian FB"/>
          <w:iCs/>
          <w:sz w:val="24"/>
          <w:szCs w:val="24"/>
        </w:rPr>
        <w:t xml:space="preserve">, and the 2020 decision about copyright protection for state statutes in </w:t>
      </w:r>
      <w:r w:rsidR="00260C60">
        <w:rPr>
          <w:rFonts w:ascii="Californian FB" w:hAnsi="Californian FB"/>
          <w:i/>
          <w:sz w:val="24"/>
          <w:szCs w:val="24"/>
        </w:rPr>
        <w:t>Georgia v. Public.Resources.Org</w:t>
      </w:r>
      <w:r w:rsidR="00400BBE">
        <w:rPr>
          <w:rFonts w:ascii="Californian FB" w:hAnsi="Californian FB"/>
          <w:iCs/>
          <w:sz w:val="24"/>
          <w:szCs w:val="24"/>
        </w:rPr>
        <w:t xml:space="preserve"> (p. 58).</w:t>
      </w:r>
      <w:r w:rsidR="00260C60">
        <w:rPr>
          <w:rFonts w:ascii="Californian FB" w:hAnsi="Californian FB"/>
          <w:i/>
          <w:sz w:val="24"/>
          <w:szCs w:val="24"/>
        </w:rPr>
        <w:t xml:space="preserve">.  </w:t>
      </w:r>
      <w:r w:rsidR="00C24D16">
        <w:rPr>
          <w:rFonts w:ascii="Californian FB" w:hAnsi="Californian FB"/>
          <w:iCs/>
          <w:sz w:val="24"/>
          <w:szCs w:val="24"/>
        </w:rPr>
        <w:t xml:space="preserve">The third is </w:t>
      </w:r>
      <w:r w:rsidR="003071D7">
        <w:rPr>
          <w:rFonts w:ascii="Californian FB" w:hAnsi="Californian FB"/>
          <w:iCs/>
          <w:sz w:val="24"/>
          <w:szCs w:val="24"/>
        </w:rPr>
        <w:t>an excerpt from the</w:t>
      </w:r>
      <w:r w:rsidR="00C24D16">
        <w:rPr>
          <w:rFonts w:ascii="Californian FB" w:hAnsi="Californian FB"/>
          <w:iCs/>
          <w:sz w:val="24"/>
          <w:szCs w:val="24"/>
        </w:rPr>
        <w:t xml:space="preserve"> Second Circuit’s fair use decision in </w:t>
      </w:r>
      <w:r w:rsidR="00C24D16">
        <w:rPr>
          <w:rFonts w:ascii="Californian FB" w:hAnsi="Californian FB"/>
          <w:i/>
          <w:sz w:val="24"/>
          <w:szCs w:val="24"/>
        </w:rPr>
        <w:t xml:space="preserve">Andy Warhol Foundation v. </w:t>
      </w:r>
      <w:r w:rsidR="00C24D16" w:rsidRPr="00C24D16">
        <w:rPr>
          <w:rFonts w:ascii="Californian FB" w:hAnsi="Californian FB"/>
          <w:i/>
          <w:sz w:val="24"/>
          <w:szCs w:val="24"/>
        </w:rPr>
        <w:t>Goldsmith</w:t>
      </w:r>
      <w:r w:rsidR="00400BBE">
        <w:rPr>
          <w:rFonts w:ascii="Californian FB" w:hAnsi="Californian FB"/>
          <w:iCs/>
          <w:sz w:val="24"/>
          <w:szCs w:val="24"/>
        </w:rPr>
        <w:t xml:space="preserve"> (p.37),</w:t>
      </w:r>
      <w:r w:rsidR="00C24D16">
        <w:rPr>
          <w:rFonts w:ascii="Californian FB" w:hAnsi="Californian FB"/>
          <w:iCs/>
          <w:sz w:val="24"/>
          <w:szCs w:val="24"/>
        </w:rPr>
        <w:t xml:space="preserve"> a decision that the Supreme Court has decided to review, with oral argument scheduled for October 12</w:t>
      </w:r>
      <w:r w:rsidR="003071D7">
        <w:rPr>
          <w:rFonts w:ascii="Californian FB" w:hAnsi="Californian FB"/>
          <w:iCs/>
          <w:sz w:val="24"/>
          <w:szCs w:val="24"/>
        </w:rPr>
        <w:t>, 2022</w:t>
      </w:r>
      <w:r w:rsidR="00C24D16">
        <w:rPr>
          <w:rFonts w:ascii="Californian FB" w:hAnsi="Californian FB"/>
          <w:iCs/>
          <w:sz w:val="24"/>
          <w:szCs w:val="24"/>
        </w:rPr>
        <w:t xml:space="preserve">.  </w:t>
      </w:r>
      <w:r w:rsidR="00FF1CD6">
        <w:rPr>
          <w:rFonts w:ascii="Californian FB" w:hAnsi="Californian FB"/>
          <w:iCs/>
          <w:sz w:val="24"/>
          <w:szCs w:val="24"/>
        </w:rPr>
        <w:t>Th</w:t>
      </w:r>
      <w:r w:rsidR="0047581B">
        <w:rPr>
          <w:rFonts w:ascii="Californian FB" w:hAnsi="Californian FB"/>
          <w:iCs/>
          <w:sz w:val="24"/>
          <w:szCs w:val="24"/>
        </w:rPr>
        <w:t>e portion of this opinion on “</w:t>
      </w:r>
      <w:proofErr w:type="spellStart"/>
      <w:r w:rsidR="0047581B">
        <w:rPr>
          <w:rFonts w:ascii="Californian FB" w:hAnsi="Californian FB"/>
          <w:iCs/>
          <w:sz w:val="24"/>
          <w:szCs w:val="24"/>
        </w:rPr>
        <w:t>transformativeness</w:t>
      </w:r>
      <w:proofErr w:type="spellEnd"/>
      <w:r w:rsidR="0047581B">
        <w:rPr>
          <w:rFonts w:ascii="Californian FB" w:hAnsi="Californian FB"/>
          <w:iCs/>
          <w:sz w:val="24"/>
          <w:szCs w:val="24"/>
        </w:rPr>
        <w:t xml:space="preserve">” </w:t>
      </w:r>
      <w:r w:rsidR="00FF1CD6">
        <w:rPr>
          <w:rFonts w:ascii="Californian FB" w:hAnsi="Californian FB"/>
          <w:iCs/>
          <w:sz w:val="24"/>
          <w:szCs w:val="24"/>
        </w:rPr>
        <w:t xml:space="preserve">is likely making a one-time appearance in the supplement, to be replaced by the Supreme Court decision when it is issued, but we thought some folks would like to teach the </w:t>
      </w:r>
      <w:r w:rsidR="00FF1CD6">
        <w:rPr>
          <w:rFonts w:ascii="Californian FB" w:hAnsi="Californian FB"/>
          <w:i/>
          <w:sz w:val="24"/>
          <w:szCs w:val="24"/>
        </w:rPr>
        <w:t xml:space="preserve">Goldsmith </w:t>
      </w:r>
      <w:r w:rsidR="00FF1CD6">
        <w:rPr>
          <w:rFonts w:ascii="Californian FB" w:hAnsi="Californian FB"/>
          <w:iCs/>
          <w:sz w:val="24"/>
          <w:szCs w:val="24"/>
        </w:rPr>
        <w:t xml:space="preserve">case </w:t>
      </w:r>
      <w:r w:rsidR="00400BBE">
        <w:rPr>
          <w:rFonts w:ascii="Californian FB" w:hAnsi="Californian FB"/>
          <w:iCs/>
          <w:sz w:val="24"/>
          <w:szCs w:val="24"/>
        </w:rPr>
        <w:t>in the fall</w:t>
      </w:r>
      <w:r w:rsidR="00FF1CD6">
        <w:rPr>
          <w:rFonts w:ascii="Californian FB" w:hAnsi="Californian FB"/>
          <w:iCs/>
          <w:sz w:val="24"/>
          <w:szCs w:val="24"/>
        </w:rPr>
        <w:t xml:space="preserve"> as the Supreme Court is considering it.</w:t>
      </w:r>
    </w:p>
    <w:p w14:paraId="108AC156" w14:textId="279EF7AF" w:rsidR="00BE02F7" w:rsidRDefault="009D3C36" w:rsidP="003071D7">
      <w:pPr>
        <w:ind w:firstLine="720"/>
        <w:jc w:val="both"/>
        <w:rPr>
          <w:rFonts w:ascii="Californian FB" w:hAnsi="Californian FB" w:cs="Times New Roman"/>
          <w:sz w:val="24"/>
          <w:szCs w:val="24"/>
        </w:rPr>
      </w:pPr>
      <w:r w:rsidRPr="00C24D16">
        <w:rPr>
          <w:rFonts w:ascii="Californian FB" w:hAnsi="Californian FB"/>
          <w:iCs/>
          <w:sz w:val="24"/>
          <w:szCs w:val="24"/>
        </w:rPr>
        <w:t>The</w:t>
      </w:r>
      <w:r>
        <w:rPr>
          <w:rFonts w:ascii="Californian FB" w:hAnsi="Californian FB"/>
          <w:iCs/>
          <w:sz w:val="24"/>
          <w:szCs w:val="24"/>
        </w:rPr>
        <w:t xml:space="preserve"> supplement </w:t>
      </w:r>
      <w:r w:rsidR="00260C60">
        <w:rPr>
          <w:rFonts w:ascii="Californian FB" w:hAnsi="Californian FB"/>
          <w:iCs/>
          <w:sz w:val="24"/>
          <w:szCs w:val="24"/>
        </w:rPr>
        <w:t xml:space="preserve">also includes </w:t>
      </w:r>
      <w:r w:rsidR="00260C60">
        <w:rPr>
          <w:rFonts w:ascii="Californian FB" w:hAnsi="Californian FB"/>
          <w:sz w:val="24"/>
          <w:szCs w:val="24"/>
        </w:rPr>
        <w:t>notes on many other cases, and a few new features that we thought would enhance study of U.S. copyright law.</w:t>
      </w:r>
      <w:r w:rsidR="00546E49" w:rsidRPr="00546E49">
        <w:t xml:space="preserve"> </w:t>
      </w:r>
      <w:r w:rsidR="00546E49" w:rsidRPr="00546E49">
        <w:rPr>
          <w:rFonts w:ascii="Californian FB" w:hAnsi="Californian FB"/>
          <w:sz w:val="24"/>
          <w:szCs w:val="24"/>
        </w:rPr>
        <w:t>Because the Copyright Claims Board (“CCB”) opened up its doors for business this June, we have included a new section at the end of Chapter 6 on the CASE Act and CCB proceedings</w:t>
      </w:r>
      <w:r w:rsidR="00400BBE">
        <w:rPr>
          <w:rFonts w:ascii="Californian FB" w:hAnsi="Californian FB"/>
          <w:sz w:val="24"/>
          <w:szCs w:val="24"/>
        </w:rPr>
        <w:t xml:space="preserve"> (p. 50)</w:t>
      </w:r>
      <w:r w:rsidR="00546E49">
        <w:rPr>
          <w:rFonts w:ascii="Californian FB" w:hAnsi="Californian FB"/>
          <w:sz w:val="24"/>
          <w:szCs w:val="24"/>
        </w:rPr>
        <w:t xml:space="preserve">. We have also </w:t>
      </w:r>
      <w:r w:rsidR="00260C60">
        <w:rPr>
          <w:rFonts w:ascii="Californian FB" w:hAnsi="Californian FB"/>
          <w:sz w:val="24"/>
          <w:szCs w:val="24"/>
        </w:rPr>
        <w:t xml:space="preserve">completely revised </w:t>
      </w:r>
      <w:r w:rsidR="00432737">
        <w:rPr>
          <w:rFonts w:ascii="Californian FB" w:hAnsi="Californian FB"/>
          <w:sz w:val="24"/>
          <w:szCs w:val="24"/>
        </w:rPr>
        <w:t>Chapter 12.E., on digital audio transmission rights, and Chapter 12.F., on rights in pre-1972 sound recordings</w:t>
      </w:r>
      <w:r w:rsidR="00260C60">
        <w:rPr>
          <w:rFonts w:ascii="Californian FB" w:hAnsi="Californian FB"/>
          <w:sz w:val="24"/>
          <w:szCs w:val="24"/>
        </w:rPr>
        <w:t xml:space="preserve">.  The new </w:t>
      </w:r>
      <w:r w:rsidR="00432737">
        <w:rPr>
          <w:rFonts w:ascii="Californian FB" w:hAnsi="Californian FB"/>
          <w:sz w:val="24"/>
          <w:szCs w:val="24"/>
        </w:rPr>
        <w:t xml:space="preserve">Chapter 12.E. in this supplement, </w:t>
      </w:r>
      <w:r w:rsidR="00432737" w:rsidRPr="00432737">
        <w:rPr>
          <w:rFonts w:ascii="Californian FB" w:hAnsi="Californian FB"/>
          <w:sz w:val="24"/>
          <w:szCs w:val="24"/>
        </w:rPr>
        <w:t>“</w:t>
      </w:r>
      <w:r w:rsidR="00432737" w:rsidRPr="00432737">
        <w:rPr>
          <w:rFonts w:ascii="Californian FB" w:hAnsi="Californian FB" w:cs="Times New Roman"/>
          <w:sz w:val="24"/>
          <w:szCs w:val="24"/>
        </w:rPr>
        <w:t>Digital Streaming of Music After the Musical Works Modernization Act”</w:t>
      </w:r>
      <w:r w:rsidR="00432737">
        <w:rPr>
          <w:rFonts w:ascii="Californian FB" w:hAnsi="Californian FB" w:cs="Times New Roman"/>
          <w:sz w:val="24"/>
          <w:szCs w:val="24"/>
        </w:rPr>
        <w:t xml:space="preserve"> </w:t>
      </w:r>
      <w:r w:rsidR="00400BBE">
        <w:rPr>
          <w:rFonts w:ascii="Californian FB" w:hAnsi="Californian FB" w:cs="Times New Roman"/>
          <w:sz w:val="24"/>
          <w:szCs w:val="24"/>
        </w:rPr>
        <w:t xml:space="preserve">(p. 84), </w:t>
      </w:r>
      <w:r w:rsidR="00432737">
        <w:rPr>
          <w:rFonts w:ascii="Californian FB" w:hAnsi="Californian FB" w:cs="Times New Roman"/>
          <w:sz w:val="24"/>
          <w:szCs w:val="24"/>
        </w:rPr>
        <w:t>now consists of a</w:t>
      </w:r>
      <w:r w:rsidR="00815977">
        <w:rPr>
          <w:rFonts w:ascii="Californian FB" w:hAnsi="Californian FB" w:cs="Times New Roman"/>
          <w:sz w:val="24"/>
          <w:szCs w:val="24"/>
        </w:rPr>
        <w:t xml:space="preserve"> general</w:t>
      </w:r>
      <w:r w:rsidR="00432737">
        <w:rPr>
          <w:rFonts w:ascii="Californian FB" w:hAnsi="Californian FB" w:cs="Times New Roman"/>
          <w:sz w:val="24"/>
          <w:szCs w:val="24"/>
        </w:rPr>
        <w:t xml:space="preserve"> introduction to copyright and the streaming of music, covering both rights in sound recordings and rights in musical works</w:t>
      </w:r>
      <w:r w:rsidR="00B53084">
        <w:rPr>
          <w:rFonts w:ascii="Californian FB" w:hAnsi="Californian FB" w:cs="Times New Roman"/>
          <w:sz w:val="24"/>
          <w:szCs w:val="24"/>
        </w:rPr>
        <w:t>, and all of the relevant exclusive rights.</w:t>
      </w:r>
    </w:p>
    <w:p w14:paraId="582A232D" w14:textId="77777777" w:rsidR="00260C60" w:rsidRDefault="00260C60" w:rsidP="00260C60">
      <w:pPr>
        <w:rPr>
          <w:rFonts w:ascii="Californian FB" w:hAnsi="Californian FB"/>
          <w:b/>
          <w:color w:val="000000"/>
          <w:sz w:val="28"/>
          <w:szCs w:val="28"/>
        </w:rPr>
      </w:pPr>
    </w:p>
    <w:p w14:paraId="6C573641" w14:textId="77777777" w:rsidR="00BE02F7" w:rsidRPr="00F37744" w:rsidRDefault="00BE02F7" w:rsidP="00ED6BE0">
      <w:pPr>
        <w:widowControl w:val="0"/>
        <w:autoSpaceDE w:val="0"/>
        <w:autoSpaceDN w:val="0"/>
        <w:adjustRightInd w:val="0"/>
        <w:spacing w:line="240" w:lineRule="auto"/>
        <w:rPr>
          <w:rFonts w:ascii="Californian FB" w:hAnsi="Californian FB"/>
          <w:color w:val="000000"/>
          <w:sz w:val="28"/>
          <w:szCs w:val="28"/>
        </w:rPr>
      </w:pPr>
      <w:r w:rsidRPr="00F37744">
        <w:rPr>
          <w:rFonts w:ascii="Californian FB" w:hAnsi="Californian FB"/>
          <w:b/>
          <w:color w:val="000000"/>
          <w:sz w:val="28"/>
          <w:szCs w:val="28"/>
        </w:rPr>
        <w:t xml:space="preserve">Chapter 1  </w:t>
      </w:r>
      <w:r w:rsidRPr="00C507AB">
        <w:rPr>
          <w:rFonts w:ascii="Californian FB" w:hAnsi="Californian FB"/>
          <w:b/>
          <w:color w:val="000000"/>
          <w:sz w:val="28"/>
          <w:szCs w:val="28"/>
        </w:rPr>
        <w:t xml:space="preserve"> </w:t>
      </w:r>
      <w:r w:rsidRPr="00C507AB">
        <w:rPr>
          <w:rFonts w:ascii="Californian FB" w:hAnsi="Californian FB"/>
          <w:b/>
          <w:i/>
          <w:color w:val="000000"/>
          <w:sz w:val="28"/>
          <w:szCs w:val="28"/>
        </w:rPr>
        <w:t>Introductions</w:t>
      </w:r>
    </w:p>
    <w:p w14:paraId="68C93E37" w14:textId="6B57AC9C" w:rsidR="00BE02F7" w:rsidRDefault="00BE02F7" w:rsidP="00ED6BE0">
      <w:pPr>
        <w:widowControl w:val="0"/>
        <w:autoSpaceDE w:val="0"/>
        <w:autoSpaceDN w:val="0"/>
        <w:adjustRightInd w:val="0"/>
        <w:spacing w:line="240" w:lineRule="auto"/>
        <w:rPr>
          <w:rFonts w:ascii="Californian FB" w:hAnsi="Californian FB"/>
          <w:b/>
          <w:color w:val="000000"/>
          <w:sz w:val="28"/>
          <w:szCs w:val="28"/>
        </w:rPr>
      </w:pPr>
      <w:r w:rsidRPr="00284B55">
        <w:rPr>
          <w:rFonts w:ascii="Californian FB" w:hAnsi="Californian FB"/>
          <w:b/>
          <w:color w:val="000000"/>
          <w:sz w:val="28"/>
          <w:szCs w:val="28"/>
        </w:rPr>
        <w:t xml:space="preserve">B. Theoretical </w:t>
      </w:r>
      <w:r w:rsidR="00C507AB" w:rsidRPr="00284B55">
        <w:rPr>
          <w:rFonts w:ascii="Californian FB" w:hAnsi="Californian FB"/>
          <w:b/>
          <w:color w:val="000000"/>
          <w:sz w:val="28"/>
          <w:szCs w:val="28"/>
        </w:rPr>
        <w:t>Frameworks</w:t>
      </w:r>
    </w:p>
    <w:p w14:paraId="23196106" w14:textId="751AF667" w:rsidR="00FC6640" w:rsidRDefault="00FC6640" w:rsidP="00ED6BE0">
      <w:pPr>
        <w:widowControl w:val="0"/>
        <w:autoSpaceDE w:val="0"/>
        <w:autoSpaceDN w:val="0"/>
        <w:adjustRightInd w:val="0"/>
        <w:spacing w:line="240" w:lineRule="auto"/>
        <w:rPr>
          <w:rFonts w:ascii="Californian FB" w:hAnsi="Californian FB"/>
          <w:bCs/>
          <w:color w:val="000000"/>
          <w:sz w:val="28"/>
          <w:szCs w:val="28"/>
        </w:rPr>
      </w:pPr>
      <w:r>
        <w:rPr>
          <w:rFonts w:ascii="Californian FB" w:hAnsi="Californian FB"/>
          <w:bCs/>
          <w:color w:val="000000"/>
          <w:sz w:val="28"/>
          <w:szCs w:val="28"/>
        </w:rPr>
        <w:t>p. 9 – Insert the following at the end of the paragraphs on the Restatement of Copyright:</w:t>
      </w:r>
    </w:p>
    <w:p w14:paraId="666ECBCD" w14:textId="11339F5B" w:rsidR="00285E60" w:rsidRPr="003071D7" w:rsidRDefault="00FC6640" w:rsidP="003071D7">
      <w:pPr>
        <w:widowControl w:val="0"/>
        <w:autoSpaceDE w:val="0"/>
        <w:autoSpaceDN w:val="0"/>
        <w:adjustRightInd w:val="0"/>
        <w:ind w:firstLine="360"/>
        <w:rPr>
          <w:rFonts w:ascii="Californian FB" w:hAnsi="Californian FB"/>
          <w:bCs/>
          <w:color w:val="000000"/>
          <w:sz w:val="24"/>
          <w:szCs w:val="24"/>
        </w:rPr>
      </w:pPr>
      <w:r>
        <w:rPr>
          <w:rFonts w:ascii="Californian FB" w:hAnsi="Californian FB"/>
          <w:bCs/>
          <w:color w:val="000000"/>
          <w:sz w:val="24"/>
          <w:szCs w:val="24"/>
        </w:rPr>
        <w:t>As of fall 2022, the membership of the American Law Institute has approved three “Tentative Drafts” of portions of the Restatement of Copyright.</w:t>
      </w:r>
      <w:r w:rsidR="00285E60">
        <w:rPr>
          <w:rFonts w:ascii="Californian FB" w:hAnsi="Californian FB"/>
          <w:bCs/>
          <w:color w:val="000000"/>
          <w:sz w:val="24"/>
          <w:szCs w:val="24"/>
        </w:rPr>
        <w:t xml:space="preserve"> You can get copies of them </w:t>
      </w:r>
      <w:hyperlink r:id="rId8" w:anchor="drafts" w:history="1">
        <w:r w:rsidR="00285E60" w:rsidRPr="008C4FCC">
          <w:rPr>
            <w:rStyle w:val="Hyperlink"/>
            <w:rFonts w:ascii="Californian FB" w:hAnsi="Californian FB"/>
            <w:bCs/>
            <w:sz w:val="24"/>
            <w:szCs w:val="24"/>
          </w:rPr>
          <w:t>here</w:t>
        </w:r>
      </w:hyperlink>
      <w:r w:rsidR="00285E60">
        <w:rPr>
          <w:rFonts w:ascii="Californian FB" w:hAnsi="Californian FB"/>
          <w:bCs/>
          <w:color w:val="000000"/>
          <w:sz w:val="24"/>
          <w:szCs w:val="24"/>
        </w:rPr>
        <w:t xml:space="preserve"> – </w:t>
      </w:r>
      <w:r w:rsidR="00285E60" w:rsidRPr="003071D7">
        <w:rPr>
          <w:rFonts w:ascii="Californian FB" w:hAnsi="Californian FB"/>
          <w:bCs/>
          <w:i/>
          <w:iCs/>
          <w:color w:val="000000"/>
          <w:sz w:val="24"/>
          <w:szCs w:val="24"/>
        </w:rPr>
        <w:t>if</w:t>
      </w:r>
      <w:r w:rsidR="00285E60">
        <w:rPr>
          <w:rFonts w:ascii="Californian FB" w:hAnsi="Californian FB"/>
          <w:bCs/>
          <w:color w:val="000000"/>
          <w:sz w:val="24"/>
          <w:szCs w:val="24"/>
        </w:rPr>
        <w:t xml:space="preserve"> you’re willing to pay $10 for electronic PDFs. The portions drafted and approved do not address some of the most controversial topics in copyright law, such as fair use analysis.  Nonetheless, the Restatement project has continued to generate controversy, including articles in support of the project, see, e.g., </w:t>
      </w:r>
      <w:hyperlink r:id="rId9" w:history="1">
        <w:r w:rsidR="008C4FCC" w:rsidRPr="008C4FCC">
          <w:rPr>
            <w:rStyle w:val="Hyperlink"/>
            <w:rFonts w:ascii="Californian FB" w:hAnsi="Californian FB"/>
            <w:bCs/>
            <w:sz w:val="24"/>
            <w:szCs w:val="24"/>
          </w:rPr>
          <w:t xml:space="preserve">Jessica </w:t>
        </w:r>
        <w:proofErr w:type="spellStart"/>
        <w:r w:rsidR="008C4FCC" w:rsidRPr="008C4FCC">
          <w:rPr>
            <w:rStyle w:val="Hyperlink"/>
            <w:rFonts w:ascii="Californian FB" w:hAnsi="Californian FB"/>
            <w:bCs/>
            <w:sz w:val="24"/>
            <w:szCs w:val="24"/>
          </w:rPr>
          <w:t>Silbey</w:t>
        </w:r>
        <w:proofErr w:type="spellEnd"/>
        <w:r w:rsidR="008C4FCC" w:rsidRPr="008C4FCC">
          <w:rPr>
            <w:rStyle w:val="Hyperlink"/>
            <w:rFonts w:ascii="Californian FB" w:hAnsi="Californian FB"/>
            <w:bCs/>
            <w:sz w:val="24"/>
            <w:szCs w:val="24"/>
          </w:rPr>
          <w:t xml:space="preserve"> &amp; Jeanne </w:t>
        </w:r>
        <w:proofErr w:type="spellStart"/>
        <w:r w:rsidR="008C4FCC" w:rsidRPr="008C4FCC">
          <w:rPr>
            <w:rStyle w:val="Hyperlink"/>
            <w:rFonts w:ascii="Californian FB" w:hAnsi="Californian FB"/>
            <w:bCs/>
            <w:sz w:val="24"/>
            <w:szCs w:val="24"/>
          </w:rPr>
          <w:t>Fromer</w:t>
        </w:r>
        <w:proofErr w:type="spellEnd"/>
        <w:r w:rsidR="008C4FCC" w:rsidRPr="008C4FCC">
          <w:rPr>
            <w:rStyle w:val="Hyperlink"/>
            <w:rFonts w:ascii="Californian FB" w:hAnsi="Californian FB"/>
            <w:bCs/>
            <w:sz w:val="24"/>
            <w:szCs w:val="24"/>
          </w:rPr>
          <w:t>, Retelling Copyright: The Contributions of the Restatement of Copyright Law, 44 Columbia Journal of Law &amp; the Arts 341 (2021).</w:t>
        </w:r>
      </w:hyperlink>
      <w:r w:rsidR="008C4FCC">
        <w:rPr>
          <w:rFonts w:ascii="Californian FB" w:hAnsi="Californian FB"/>
          <w:bCs/>
          <w:color w:val="000000"/>
          <w:sz w:val="24"/>
          <w:szCs w:val="24"/>
        </w:rPr>
        <w:t xml:space="preserve">, and articles highly critical of it, see, e.g., </w:t>
      </w:r>
      <w:hyperlink r:id="rId10" w:history="1">
        <w:proofErr w:type="spellStart"/>
        <w:r w:rsidR="008C4FCC" w:rsidRPr="006D677F">
          <w:rPr>
            <w:rStyle w:val="Hyperlink"/>
            <w:rFonts w:ascii="Californian FB" w:hAnsi="Californian FB"/>
            <w:bCs/>
            <w:sz w:val="24"/>
            <w:szCs w:val="24"/>
          </w:rPr>
          <w:t>Shyamkrishna</w:t>
        </w:r>
        <w:proofErr w:type="spellEnd"/>
        <w:r w:rsidR="008C4FCC" w:rsidRPr="006D677F">
          <w:rPr>
            <w:rStyle w:val="Hyperlink"/>
            <w:rFonts w:ascii="Californian FB" w:hAnsi="Californian FB"/>
            <w:bCs/>
            <w:sz w:val="24"/>
            <w:szCs w:val="24"/>
          </w:rPr>
          <w:t xml:space="preserve"> </w:t>
        </w:r>
        <w:proofErr w:type="spellStart"/>
        <w:r w:rsidR="008C4FCC" w:rsidRPr="006D677F">
          <w:rPr>
            <w:rStyle w:val="Hyperlink"/>
            <w:rFonts w:ascii="Californian FB" w:hAnsi="Californian FB"/>
            <w:bCs/>
            <w:sz w:val="24"/>
            <w:szCs w:val="24"/>
          </w:rPr>
          <w:t>Balganesh</w:t>
        </w:r>
        <w:proofErr w:type="spellEnd"/>
        <w:r w:rsidR="008C4FCC" w:rsidRPr="006D677F">
          <w:rPr>
            <w:rStyle w:val="Hyperlink"/>
            <w:rFonts w:ascii="Californian FB" w:hAnsi="Californian FB"/>
            <w:bCs/>
            <w:sz w:val="24"/>
            <w:szCs w:val="24"/>
          </w:rPr>
          <w:t xml:space="preserve"> &amp; Peter S. </w:t>
        </w:r>
        <w:proofErr w:type="spellStart"/>
        <w:r w:rsidR="008C4FCC" w:rsidRPr="006D677F">
          <w:rPr>
            <w:rStyle w:val="Hyperlink"/>
            <w:rFonts w:ascii="Californian FB" w:hAnsi="Californian FB"/>
            <w:bCs/>
            <w:sz w:val="24"/>
            <w:szCs w:val="24"/>
          </w:rPr>
          <w:t>Menell</w:t>
        </w:r>
        <w:proofErr w:type="spellEnd"/>
        <w:r w:rsidR="008C4FCC" w:rsidRPr="006D677F">
          <w:rPr>
            <w:rStyle w:val="Hyperlink"/>
            <w:rFonts w:ascii="Californian FB" w:hAnsi="Californian FB"/>
            <w:bCs/>
            <w:sz w:val="24"/>
            <w:szCs w:val="24"/>
          </w:rPr>
          <w:t>, Restatements of Statutory Law: The Curious Case of the Restatement of Copyright, 44 Colum. J. L. &amp; the Arts (2021).</w:t>
        </w:r>
      </w:hyperlink>
      <w:r w:rsidR="006D677F">
        <w:rPr>
          <w:rFonts w:ascii="Californian FB" w:hAnsi="Californian FB"/>
          <w:bCs/>
          <w:color w:val="000000"/>
          <w:sz w:val="24"/>
          <w:szCs w:val="24"/>
        </w:rPr>
        <w:t xml:space="preserve">  </w:t>
      </w:r>
      <w:r w:rsidR="00A9227A">
        <w:rPr>
          <w:rFonts w:ascii="Californian FB" w:hAnsi="Californian FB"/>
          <w:bCs/>
          <w:color w:val="000000"/>
          <w:sz w:val="24"/>
          <w:szCs w:val="24"/>
        </w:rPr>
        <w:t>The Restatement on Copyright will not be completed anytime soon</w:t>
      </w:r>
      <w:r w:rsidR="006D677F">
        <w:rPr>
          <w:rFonts w:ascii="Californian FB" w:hAnsi="Californian FB"/>
          <w:bCs/>
          <w:color w:val="000000"/>
          <w:sz w:val="24"/>
          <w:szCs w:val="24"/>
        </w:rPr>
        <w:t>.</w:t>
      </w:r>
    </w:p>
    <w:p w14:paraId="085BBC7E" w14:textId="46A19ADA" w:rsidR="006C1467" w:rsidRDefault="006C1467" w:rsidP="00ED6BE0">
      <w:pPr>
        <w:spacing w:line="240" w:lineRule="auto"/>
        <w:rPr>
          <w:rFonts w:ascii="Californian FB" w:hAnsi="Californian FB"/>
          <w:color w:val="000000"/>
          <w:sz w:val="28"/>
          <w:szCs w:val="28"/>
        </w:rPr>
      </w:pPr>
      <w:r>
        <w:rPr>
          <w:rFonts w:ascii="Californian FB" w:hAnsi="Californian FB"/>
          <w:color w:val="000000"/>
          <w:sz w:val="28"/>
          <w:szCs w:val="28"/>
        </w:rPr>
        <w:t xml:space="preserve">p. 17 – </w:t>
      </w:r>
      <w:r w:rsidR="00EE4CE8">
        <w:rPr>
          <w:rFonts w:ascii="Californian FB" w:hAnsi="Californian FB"/>
          <w:color w:val="000000"/>
          <w:sz w:val="28"/>
          <w:szCs w:val="28"/>
        </w:rPr>
        <w:t>Insert the following above “</w:t>
      </w:r>
      <w:r w:rsidR="00EE4CE8">
        <w:rPr>
          <w:rFonts w:ascii="Californian FB" w:hAnsi="Californian FB"/>
          <w:b/>
          <w:bCs/>
          <w:color w:val="000000"/>
          <w:sz w:val="28"/>
          <w:szCs w:val="28"/>
        </w:rPr>
        <w:t>Alternative Business Models</w:t>
      </w:r>
      <w:r w:rsidR="00EE4CE8">
        <w:rPr>
          <w:rFonts w:ascii="Californian FB" w:hAnsi="Californian FB"/>
          <w:color w:val="000000"/>
          <w:sz w:val="28"/>
          <w:szCs w:val="28"/>
        </w:rPr>
        <w:t>”:</w:t>
      </w:r>
    </w:p>
    <w:p w14:paraId="45D11E53" w14:textId="2AF46903" w:rsidR="00EE4CE8" w:rsidRDefault="00EE4CE8" w:rsidP="00DF08C9">
      <w:pPr>
        <w:jc w:val="both"/>
        <w:rPr>
          <w:rFonts w:ascii="Californian FB" w:hAnsi="Californian FB"/>
          <w:color w:val="000000"/>
          <w:sz w:val="24"/>
          <w:szCs w:val="24"/>
        </w:rPr>
      </w:pPr>
      <w:r>
        <w:rPr>
          <w:rFonts w:ascii="Californian FB" w:hAnsi="Californian FB"/>
          <w:color w:val="000000"/>
          <w:sz w:val="24"/>
          <w:szCs w:val="24"/>
        </w:rPr>
        <w:tab/>
      </w:r>
      <w:r>
        <w:rPr>
          <w:rFonts w:ascii="Californian FB" w:hAnsi="Californian FB"/>
          <w:b/>
          <w:bCs/>
          <w:color w:val="000000"/>
          <w:sz w:val="24"/>
          <w:szCs w:val="24"/>
        </w:rPr>
        <w:t xml:space="preserve">A Taste for Authenticity.  </w:t>
      </w:r>
      <w:r>
        <w:rPr>
          <w:rFonts w:ascii="Californian FB" w:hAnsi="Californian FB"/>
          <w:color w:val="000000"/>
          <w:sz w:val="24"/>
          <w:szCs w:val="24"/>
        </w:rPr>
        <w:t xml:space="preserve">In some cases, purchasers of copies of works of authorship may affirmatively want “the original” – whether the original is a </w:t>
      </w:r>
      <w:r w:rsidR="004155AF">
        <w:rPr>
          <w:rFonts w:ascii="Californian FB" w:hAnsi="Californian FB"/>
          <w:color w:val="000000"/>
          <w:sz w:val="24"/>
          <w:szCs w:val="24"/>
        </w:rPr>
        <w:t xml:space="preserve">unique, handmade object like a painting, authenticated as having been executed by a particular painter, or an edition of multiple </w:t>
      </w:r>
      <w:r w:rsidR="004155AF">
        <w:rPr>
          <w:rFonts w:ascii="Californian FB" w:hAnsi="Californian FB"/>
          <w:color w:val="000000"/>
          <w:sz w:val="24"/>
          <w:szCs w:val="24"/>
        </w:rPr>
        <w:lastRenderedPageBreak/>
        <w:t xml:space="preserve">copies that was specifically authorized by the author. For types of works for which there is a very strong taste for authenticity, unauthorized copies will have a market value that is a very small fraction of that of the original or of an authorized copy.  In such markets, protection against forgery and false advertising is much more important than copyright law.  </w:t>
      </w:r>
      <w:r w:rsidR="004155AF">
        <w:rPr>
          <w:rFonts w:ascii="Californian FB" w:hAnsi="Californian FB"/>
          <w:i/>
          <w:iCs/>
          <w:color w:val="000000"/>
          <w:sz w:val="24"/>
          <w:szCs w:val="24"/>
        </w:rPr>
        <w:t xml:space="preserve">See, e.g., </w:t>
      </w:r>
      <w:r w:rsidR="004155AF" w:rsidRPr="004155AF">
        <w:rPr>
          <w:rFonts w:ascii="Californian FB" w:hAnsi="Californian FB"/>
          <w:color w:val="000000"/>
          <w:sz w:val="24"/>
          <w:szCs w:val="24"/>
        </w:rPr>
        <w:t>Amy Adler, Why Art Does Not Need Copyright, 86 Geo. Wash. L. Rev. 313, 330-341 (2018)).</w:t>
      </w:r>
    </w:p>
    <w:p w14:paraId="7D6D6D94" w14:textId="77777777" w:rsidR="004155AF" w:rsidRPr="004155AF" w:rsidRDefault="004155AF" w:rsidP="004155AF">
      <w:pPr>
        <w:spacing w:line="240" w:lineRule="auto"/>
        <w:jc w:val="both"/>
        <w:rPr>
          <w:rFonts w:ascii="Californian FB" w:hAnsi="Californian FB"/>
          <w:color w:val="000000"/>
          <w:sz w:val="24"/>
          <w:szCs w:val="24"/>
        </w:rPr>
      </w:pPr>
    </w:p>
    <w:p w14:paraId="0B64C5AF" w14:textId="2D2BB3B4" w:rsidR="00BE02F7" w:rsidRPr="00FF7EDF" w:rsidRDefault="00BE02F7" w:rsidP="00ED6BE0">
      <w:pPr>
        <w:spacing w:line="240" w:lineRule="auto"/>
        <w:rPr>
          <w:rFonts w:ascii="Californian FB" w:hAnsi="Californian FB"/>
          <w:color w:val="000000"/>
          <w:sz w:val="28"/>
          <w:szCs w:val="28"/>
        </w:rPr>
      </w:pPr>
      <w:r w:rsidRPr="00FF7EDF">
        <w:rPr>
          <w:rFonts w:ascii="Californian FB" w:hAnsi="Californian FB"/>
          <w:color w:val="000000"/>
          <w:sz w:val="28"/>
          <w:szCs w:val="28"/>
        </w:rPr>
        <w:t>p. 26 – Insert the following above the “Test Your Knowledge” box:</w:t>
      </w:r>
    </w:p>
    <w:p w14:paraId="6B250DA1" w14:textId="3B868118" w:rsidR="00CB5F33" w:rsidRPr="00FF7EDF" w:rsidRDefault="00BE02F7" w:rsidP="00ED6BE0">
      <w:pPr>
        <w:spacing w:line="240" w:lineRule="auto"/>
        <w:rPr>
          <w:rFonts w:ascii="Californian FB" w:hAnsi="Californian FB"/>
          <w:b/>
          <w:sz w:val="24"/>
          <w:szCs w:val="24"/>
        </w:rPr>
      </w:pPr>
      <w:r w:rsidRPr="00FF7EDF">
        <w:rPr>
          <w:rFonts w:ascii="Californian FB" w:hAnsi="Californian FB"/>
          <w:b/>
          <w:color w:val="000000"/>
          <w:sz w:val="24"/>
          <w:szCs w:val="24"/>
        </w:rPr>
        <w:t xml:space="preserve">4. </w:t>
      </w:r>
      <w:r w:rsidR="00D47F73" w:rsidRPr="00FF7EDF">
        <w:rPr>
          <w:rFonts w:ascii="Californian FB" w:hAnsi="Californian FB"/>
          <w:b/>
          <w:sz w:val="24"/>
          <w:szCs w:val="24"/>
        </w:rPr>
        <w:t xml:space="preserve">Copyright and Cultural Theory: </w:t>
      </w:r>
      <w:r w:rsidR="004B7FE5" w:rsidRPr="00FF7EDF">
        <w:rPr>
          <w:rFonts w:ascii="Californian FB" w:hAnsi="Californian FB"/>
          <w:b/>
          <w:sz w:val="24"/>
          <w:szCs w:val="24"/>
        </w:rPr>
        <w:t xml:space="preserve">Who </w:t>
      </w:r>
      <w:r w:rsidR="007804BC" w:rsidRPr="00FF7EDF">
        <w:rPr>
          <w:rFonts w:ascii="Californian FB" w:hAnsi="Californian FB"/>
          <w:b/>
          <w:sz w:val="24"/>
          <w:szCs w:val="24"/>
        </w:rPr>
        <w:t xml:space="preserve">Should </w:t>
      </w:r>
      <w:r w:rsidR="004B7FE5" w:rsidRPr="00FF7EDF">
        <w:rPr>
          <w:rFonts w:ascii="Californian FB" w:hAnsi="Californian FB"/>
          <w:b/>
          <w:sz w:val="24"/>
          <w:szCs w:val="24"/>
        </w:rPr>
        <w:t>Create Culture?</w:t>
      </w:r>
    </w:p>
    <w:p w14:paraId="0788C1F1" w14:textId="79BA080D" w:rsidR="00D40B67" w:rsidRPr="00BE02F7" w:rsidRDefault="007804BC" w:rsidP="00ED6BE0">
      <w:pPr>
        <w:jc w:val="both"/>
        <w:rPr>
          <w:rFonts w:ascii="Californian FB" w:hAnsi="Californian FB"/>
          <w:sz w:val="24"/>
          <w:szCs w:val="24"/>
        </w:rPr>
      </w:pPr>
      <w:r>
        <w:tab/>
      </w:r>
      <w:r w:rsidRPr="00BE02F7">
        <w:rPr>
          <w:rFonts w:ascii="Californian FB" w:hAnsi="Californian FB"/>
          <w:sz w:val="24"/>
          <w:szCs w:val="24"/>
        </w:rPr>
        <w:t xml:space="preserve">As human beings, we reflect and comment on our lives, and engage our aesthetic </w:t>
      </w:r>
      <w:r w:rsidR="00D454BB" w:rsidRPr="00BE02F7">
        <w:rPr>
          <w:rFonts w:ascii="Californian FB" w:hAnsi="Californian FB"/>
          <w:sz w:val="24"/>
          <w:szCs w:val="24"/>
        </w:rPr>
        <w:t xml:space="preserve">and critical </w:t>
      </w:r>
      <w:r w:rsidRPr="00BE02F7">
        <w:rPr>
          <w:rFonts w:ascii="Californian FB" w:hAnsi="Californian FB"/>
          <w:sz w:val="24"/>
          <w:szCs w:val="24"/>
        </w:rPr>
        <w:t>faculties, by producing and consuming cultural objects and experiences – literature,</w:t>
      </w:r>
      <w:r w:rsidR="00BE4BBF" w:rsidRPr="00BE02F7">
        <w:rPr>
          <w:rFonts w:ascii="Californian FB" w:hAnsi="Californian FB"/>
          <w:sz w:val="24"/>
          <w:szCs w:val="24"/>
        </w:rPr>
        <w:t xml:space="preserve"> music, drama, art, </w:t>
      </w:r>
      <w:r w:rsidR="004A6DAE" w:rsidRPr="00BE02F7">
        <w:rPr>
          <w:rFonts w:ascii="Californian FB" w:hAnsi="Californian FB"/>
          <w:sz w:val="24"/>
          <w:szCs w:val="24"/>
        </w:rPr>
        <w:t xml:space="preserve">video games, </w:t>
      </w:r>
      <w:r w:rsidR="00533367" w:rsidRPr="00BE02F7">
        <w:rPr>
          <w:rFonts w:ascii="Californian FB" w:hAnsi="Californian FB"/>
          <w:sz w:val="24"/>
          <w:szCs w:val="24"/>
        </w:rPr>
        <w:t>software</w:t>
      </w:r>
      <w:r w:rsidR="004A6DAE" w:rsidRPr="00BE02F7">
        <w:rPr>
          <w:rFonts w:ascii="Californian FB" w:hAnsi="Californian FB"/>
          <w:sz w:val="24"/>
          <w:szCs w:val="24"/>
        </w:rPr>
        <w:t xml:space="preserve">, </w:t>
      </w:r>
      <w:r w:rsidR="00BE4BBF" w:rsidRPr="00BE02F7">
        <w:rPr>
          <w:rFonts w:ascii="Californian FB" w:hAnsi="Californian FB"/>
          <w:sz w:val="24"/>
          <w:szCs w:val="24"/>
        </w:rPr>
        <w:t xml:space="preserve">and so on.  </w:t>
      </w:r>
      <w:r w:rsidR="00AE7E46" w:rsidRPr="00BE02F7">
        <w:rPr>
          <w:rFonts w:ascii="Californian FB" w:hAnsi="Californian FB"/>
          <w:sz w:val="24"/>
          <w:szCs w:val="24"/>
        </w:rPr>
        <w:t>How does and should that process of cultural creation happen, and who is and should be involved?</w:t>
      </w:r>
    </w:p>
    <w:p w14:paraId="2484F61F" w14:textId="20822821" w:rsidR="007804BC" w:rsidRPr="00BE02F7" w:rsidRDefault="00914ED7" w:rsidP="00ED6BE0">
      <w:pPr>
        <w:ind w:firstLine="720"/>
        <w:jc w:val="both"/>
        <w:rPr>
          <w:rFonts w:ascii="Californian FB" w:hAnsi="Californian FB"/>
          <w:sz w:val="24"/>
          <w:szCs w:val="24"/>
        </w:rPr>
      </w:pPr>
      <w:r w:rsidRPr="00BE02F7">
        <w:rPr>
          <w:rFonts w:ascii="Californian FB" w:hAnsi="Californian FB"/>
          <w:sz w:val="24"/>
          <w:szCs w:val="24"/>
        </w:rPr>
        <w:t xml:space="preserve"> </w:t>
      </w:r>
      <w:r w:rsidR="00BE4BBF" w:rsidRPr="00BE02F7">
        <w:rPr>
          <w:rFonts w:ascii="Californian FB" w:hAnsi="Californian FB"/>
          <w:sz w:val="24"/>
          <w:szCs w:val="24"/>
        </w:rPr>
        <w:t>At one extreme</w:t>
      </w:r>
      <w:r w:rsidR="00D40B67" w:rsidRPr="00BE02F7">
        <w:rPr>
          <w:rFonts w:ascii="Californian FB" w:hAnsi="Californian FB"/>
          <w:sz w:val="24"/>
          <w:szCs w:val="24"/>
        </w:rPr>
        <w:t xml:space="preserve"> are</w:t>
      </w:r>
      <w:r w:rsidRPr="00BE02F7">
        <w:rPr>
          <w:rFonts w:ascii="Californian FB" w:hAnsi="Californian FB"/>
          <w:sz w:val="24"/>
          <w:szCs w:val="24"/>
        </w:rPr>
        <w:t xml:space="preserve"> cultural experiences in which there </w:t>
      </w:r>
      <w:r w:rsidR="00AE7E46" w:rsidRPr="00BE02F7">
        <w:rPr>
          <w:rFonts w:ascii="Californian FB" w:hAnsi="Californian FB"/>
          <w:sz w:val="24"/>
          <w:szCs w:val="24"/>
        </w:rPr>
        <w:t>is</w:t>
      </w:r>
      <w:r w:rsidRPr="00BE02F7">
        <w:rPr>
          <w:rFonts w:ascii="Californian FB" w:hAnsi="Californian FB"/>
          <w:sz w:val="24"/>
          <w:szCs w:val="24"/>
        </w:rPr>
        <w:t xml:space="preserve"> little division between </w:t>
      </w:r>
      <w:r w:rsidR="00D40B67" w:rsidRPr="00BE02F7">
        <w:rPr>
          <w:rFonts w:ascii="Californian FB" w:hAnsi="Californian FB"/>
          <w:sz w:val="24"/>
          <w:szCs w:val="24"/>
        </w:rPr>
        <w:t xml:space="preserve">producers </w:t>
      </w:r>
      <w:r w:rsidRPr="00BE02F7">
        <w:rPr>
          <w:rFonts w:ascii="Californian FB" w:hAnsi="Californian FB"/>
          <w:sz w:val="24"/>
          <w:szCs w:val="24"/>
        </w:rPr>
        <w:t xml:space="preserve">and </w:t>
      </w:r>
      <w:r w:rsidR="00D40B67" w:rsidRPr="00BE02F7">
        <w:rPr>
          <w:rFonts w:ascii="Californian FB" w:hAnsi="Californian FB"/>
          <w:sz w:val="24"/>
          <w:szCs w:val="24"/>
        </w:rPr>
        <w:t>consumers</w:t>
      </w:r>
      <w:r w:rsidRPr="00BE02F7">
        <w:rPr>
          <w:rFonts w:ascii="Californian FB" w:hAnsi="Californian FB"/>
          <w:sz w:val="24"/>
          <w:szCs w:val="24"/>
        </w:rPr>
        <w:t xml:space="preserve">.  </w:t>
      </w:r>
      <w:r w:rsidR="000154CF" w:rsidRPr="00BE02F7">
        <w:rPr>
          <w:rFonts w:ascii="Californian FB" w:hAnsi="Californian FB"/>
          <w:sz w:val="24"/>
          <w:szCs w:val="24"/>
        </w:rPr>
        <w:t>You</w:t>
      </w:r>
      <w:r w:rsidR="00192622" w:rsidRPr="00BE02F7">
        <w:rPr>
          <w:rFonts w:ascii="Californian FB" w:hAnsi="Californian FB"/>
          <w:sz w:val="24"/>
          <w:szCs w:val="24"/>
        </w:rPr>
        <w:t xml:space="preserve"> could make </w:t>
      </w:r>
      <w:r w:rsidR="000154CF" w:rsidRPr="00BE02F7">
        <w:rPr>
          <w:rFonts w:ascii="Californian FB" w:hAnsi="Californian FB"/>
          <w:sz w:val="24"/>
          <w:szCs w:val="24"/>
        </w:rPr>
        <w:t xml:space="preserve">your </w:t>
      </w:r>
      <w:r w:rsidR="00192622" w:rsidRPr="00BE02F7">
        <w:rPr>
          <w:rFonts w:ascii="Californian FB" w:hAnsi="Californian FB"/>
          <w:sz w:val="24"/>
          <w:szCs w:val="24"/>
        </w:rPr>
        <w:t xml:space="preserve">living as a steelworker or a physician, but in </w:t>
      </w:r>
      <w:r w:rsidR="000154CF" w:rsidRPr="00BE02F7">
        <w:rPr>
          <w:rFonts w:ascii="Californian FB" w:hAnsi="Californian FB"/>
          <w:sz w:val="24"/>
          <w:szCs w:val="24"/>
        </w:rPr>
        <w:t xml:space="preserve">your </w:t>
      </w:r>
      <w:r w:rsidR="00192622" w:rsidRPr="00BE02F7">
        <w:rPr>
          <w:rFonts w:ascii="Californian FB" w:hAnsi="Californian FB"/>
          <w:sz w:val="24"/>
          <w:szCs w:val="24"/>
        </w:rPr>
        <w:t>spare time</w:t>
      </w:r>
      <w:r w:rsidR="00AE7E46" w:rsidRPr="00BE02F7">
        <w:rPr>
          <w:rFonts w:ascii="Californian FB" w:hAnsi="Californian FB"/>
          <w:sz w:val="24"/>
          <w:szCs w:val="24"/>
        </w:rPr>
        <w:t xml:space="preserve"> </w:t>
      </w:r>
      <w:r w:rsidR="000154CF" w:rsidRPr="00BE02F7">
        <w:rPr>
          <w:rFonts w:ascii="Californian FB" w:hAnsi="Californian FB"/>
          <w:sz w:val="24"/>
          <w:szCs w:val="24"/>
        </w:rPr>
        <w:t>you</w:t>
      </w:r>
      <w:r w:rsidR="00AE7E46" w:rsidRPr="00BE02F7">
        <w:rPr>
          <w:rFonts w:ascii="Californian FB" w:hAnsi="Californian FB"/>
          <w:sz w:val="24"/>
          <w:szCs w:val="24"/>
        </w:rPr>
        <w:t xml:space="preserve"> could participate as an amateur musician in an improvisatory jam session, in which there is no division between performer and audience</w:t>
      </w:r>
      <w:r w:rsidR="000154CF" w:rsidRPr="00BE02F7">
        <w:rPr>
          <w:rFonts w:ascii="Californian FB" w:hAnsi="Californian FB"/>
          <w:sz w:val="24"/>
          <w:szCs w:val="24"/>
        </w:rPr>
        <w:t>:</w:t>
      </w:r>
      <w:r w:rsidR="00506A5C" w:rsidRPr="00BE02F7">
        <w:rPr>
          <w:rFonts w:ascii="Californian FB" w:hAnsi="Californian FB"/>
          <w:sz w:val="24"/>
          <w:szCs w:val="24"/>
        </w:rPr>
        <w:t xml:space="preserve"> </w:t>
      </w:r>
      <w:r w:rsidR="000154CF" w:rsidRPr="00BE02F7">
        <w:rPr>
          <w:rFonts w:ascii="Californian FB" w:hAnsi="Californian FB"/>
          <w:sz w:val="24"/>
          <w:szCs w:val="24"/>
        </w:rPr>
        <w:t>the entire group is</w:t>
      </w:r>
      <w:r w:rsidR="00506A5C" w:rsidRPr="00BE02F7">
        <w:rPr>
          <w:rFonts w:ascii="Californian FB" w:hAnsi="Californian FB"/>
          <w:sz w:val="24"/>
          <w:szCs w:val="24"/>
        </w:rPr>
        <w:t xml:space="preserve"> making music that </w:t>
      </w:r>
      <w:r w:rsidR="000154CF" w:rsidRPr="00BE02F7">
        <w:rPr>
          <w:rFonts w:ascii="Californian FB" w:hAnsi="Californian FB"/>
          <w:sz w:val="24"/>
          <w:szCs w:val="24"/>
        </w:rPr>
        <w:t xml:space="preserve">each member is </w:t>
      </w:r>
      <w:r w:rsidR="00506A5C" w:rsidRPr="00BE02F7">
        <w:rPr>
          <w:rFonts w:ascii="Californian FB" w:hAnsi="Californian FB"/>
          <w:sz w:val="24"/>
          <w:szCs w:val="24"/>
        </w:rPr>
        <w:t>also enjoying.  At the other extreme, cultural production could be accomplished by a small group of professionals who rely on that production for their livelihood</w:t>
      </w:r>
      <w:r w:rsidR="00BA6F13">
        <w:rPr>
          <w:rFonts w:ascii="Californian FB" w:hAnsi="Californian FB"/>
          <w:sz w:val="24"/>
          <w:szCs w:val="24"/>
        </w:rPr>
        <w:t>s</w:t>
      </w:r>
      <w:r w:rsidR="00506A5C" w:rsidRPr="00BE02F7">
        <w:rPr>
          <w:rFonts w:ascii="Californian FB" w:hAnsi="Californian FB"/>
          <w:sz w:val="24"/>
          <w:szCs w:val="24"/>
        </w:rPr>
        <w:t xml:space="preserve">, and the rest of us could be passive audience members.  A television production company </w:t>
      </w:r>
      <w:r w:rsidR="004A6DAE" w:rsidRPr="00BE02F7">
        <w:rPr>
          <w:rFonts w:ascii="Californian FB" w:hAnsi="Californian FB"/>
          <w:sz w:val="24"/>
          <w:szCs w:val="24"/>
        </w:rPr>
        <w:t xml:space="preserve">located in one city </w:t>
      </w:r>
      <w:r w:rsidR="00506A5C" w:rsidRPr="00BE02F7">
        <w:rPr>
          <w:rFonts w:ascii="Californian FB" w:hAnsi="Californian FB"/>
          <w:sz w:val="24"/>
          <w:szCs w:val="24"/>
        </w:rPr>
        <w:t xml:space="preserve">could make shows that are stored and transmitted all over the world, and hundreds of millions of people could sit and watch those shows in their living rooms.  In </w:t>
      </w:r>
      <w:r w:rsidR="00627460" w:rsidRPr="00BE02F7">
        <w:rPr>
          <w:rFonts w:ascii="Californian FB" w:hAnsi="Californian FB"/>
          <w:sz w:val="24"/>
          <w:szCs w:val="24"/>
        </w:rPr>
        <w:t xml:space="preserve">between </w:t>
      </w:r>
      <w:r w:rsidR="00506A5C" w:rsidRPr="00BE02F7">
        <w:rPr>
          <w:rFonts w:ascii="Californian FB" w:hAnsi="Californian FB"/>
          <w:sz w:val="24"/>
          <w:szCs w:val="24"/>
        </w:rPr>
        <w:t xml:space="preserve">those extremes, there are </w:t>
      </w:r>
      <w:r w:rsidR="00627460" w:rsidRPr="00BE02F7">
        <w:rPr>
          <w:rFonts w:ascii="Californian FB" w:hAnsi="Californian FB"/>
          <w:sz w:val="24"/>
          <w:szCs w:val="24"/>
        </w:rPr>
        <w:t>a wide variety</w:t>
      </w:r>
      <w:r w:rsidR="00506A5C" w:rsidRPr="00BE02F7">
        <w:rPr>
          <w:rFonts w:ascii="Californian FB" w:hAnsi="Californian FB"/>
          <w:sz w:val="24"/>
          <w:szCs w:val="24"/>
        </w:rPr>
        <w:t xml:space="preserve"> of </w:t>
      </w:r>
      <w:r w:rsidR="00166E80" w:rsidRPr="00BE02F7">
        <w:rPr>
          <w:rFonts w:ascii="Californian FB" w:hAnsi="Californian FB"/>
          <w:sz w:val="24"/>
          <w:szCs w:val="24"/>
        </w:rPr>
        <w:t xml:space="preserve">scales and </w:t>
      </w:r>
      <w:r w:rsidR="00627460" w:rsidRPr="00BE02F7">
        <w:rPr>
          <w:rFonts w:ascii="Californian FB" w:hAnsi="Californian FB"/>
          <w:sz w:val="24"/>
          <w:szCs w:val="24"/>
        </w:rPr>
        <w:t>combinations</w:t>
      </w:r>
      <w:r w:rsidR="00166E80" w:rsidRPr="00BE02F7">
        <w:rPr>
          <w:rFonts w:ascii="Californian FB" w:hAnsi="Californian FB"/>
          <w:sz w:val="24"/>
          <w:szCs w:val="24"/>
        </w:rPr>
        <w:t xml:space="preserve"> </w:t>
      </w:r>
      <w:r w:rsidR="00506A5C" w:rsidRPr="00BE02F7">
        <w:rPr>
          <w:rFonts w:ascii="Californian FB" w:hAnsi="Californian FB"/>
          <w:sz w:val="24"/>
          <w:szCs w:val="24"/>
        </w:rPr>
        <w:t>of professional and amateur</w:t>
      </w:r>
      <w:r w:rsidR="00695B38" w:rsidRPr="00BE02F7">
        <w:rPr>
          <w:rFonts w:ascii="Californian FB" w:hAnsi="Californian FB"/>
          <w:sz w:val="24"/>
          <w:szCs w:val="24"/>
        </w:rPr>
        <w:t>, market and nonmarket, individual and cooperative</w:t>
      </w:r>
      <w:r w:rsidR="00506A5C" w:rsidRPr="00BE02F7">
        <w:rPr>
          <w:rFonts w:ascii="Californian FB" w:hAnsi="Californian FB"/>
          <w:sz w:val="24"/>
          <w:szCs w:val="24"/>
        </w:rPr>
        <w:t xml:space="preserve"> creation.  </w:t>
      </w:r>
      <w:r w:rsidR="00166E80" w:rsidRPr="00BE02F7">
        <w:rPr>
          <w:rFonts w:ascii="Californian FB" w:hAnsi="Californian FB"/>
          <w:sz w:val="24"/>
          <w:szCs w:val="24"/>
        </w:rPr>
        <w:t xml:space="preserve">A painter may </w:t>
      </w:r>
      <w:r w:rsidR="00695B38" w:rsidRPr="00BE02F7">
        <w:rPr>
          <w:rFonts w:ascii="Californian FB" w:hAnsi="Californian FB"/>
          <w:sz w:val="24"/>
          <w:szCs w:val="24"/>
        </w:rPr>
        <w:t>give her paintings to friends</w:t>
      </w:r>
      <w:r w:rsidR="00D40B67" w:rsidRPr="00BE02F7">
        <w:rPr>
          <w:rFonts w:ascii="Californian FB" w:hAnsi="Californian FB"/>
          <w:sz w:val="24"/>
          <w:szCs w:val="24"/>
        </w:rPr>
        <w:t xml:space="preserve"> for free while also </w:t>
      </w:r>
      <w:r w:rsidR="00166E80" w:rsidRPr="00BE02F7">
        <w:rPr>
          <w:rFonts w:ascii="Californian FB" w:hAnsi="Californian FB"/>
          <w:sz w:val="24"/>
          <w:szCs w:val="24"/>
        </w:rPr>
        <w:t xml:space="preserve">selling </w:t>
      </w:r>
      <w:r w:rsidR="00695B38" w:rsidRPr="00BE02F7">
        <w:rPr>
          <w:rFonts w:ascii="Californian FB" w:hAnsi="Californian FB"/>
          <w:sz w:val="24"/>
          <w:szCs w:val="24"/>
        </w:rPr>
        <w:t xml:space="preserve">some </w:t>
      </w:r>
      <w:r w:rsidR="00166E80" w:rsidRPr="00BE02F7">
        <w:rPr>
          <w:rFonts w:ascii="Californian FB" w:hAnsi="Californian FB"/>
          <w:sz w:val="24"/>
          <w:szCs w:val="24"/>
        </w:rPr>
        <w:t xml:space="preserve">paintings for display in local homes.  </w:t>
      </w:r>
      <w:r w:rsidR="007D6A80" w:rsidRPr="00BE02F7">
        <w:rPr>
          <w:rFonts w:ascii="Californian FB" w:hAnsi="Californian FB"/>
          <w:sz w:val="24"/>
          <w:szCs w:val="24"/>
        </w:rPr>
        <w:t xml:space="preserve">A </w:t>
      </w:r>
      <w:r w:rsidR="00D40B67" w:rsidRPr="00BE02F7">
        <w:rPr>
          <w:rFonts w:ascii="Californian FB" w:hAnsi="Californian FB"/>
          <w:sz w:val="24"/>
          <w:szCs w:val="24"/>
        </w:rPr>
        <w:t xml:space="preserve">group of </w:t>
      </w:r>
      <w:r w:rsidR="007D6A80" w:rsidRPr="00BE02F7">
        <w:rPr>
          <w:rFonts w:ascii="Californian FB" w:hAnsi="Californian FB"/>
          <w:sz w:val="24"/>
          <w:szCs w:val="24"/>
        </w:rPr>
        <w:t>programmer</w:t>
      </w:r>
      <w:r w:rsidR="00D40B67" w:rsidRPr="00BE02F7">
        <w:rPr>
          <w:rFonts w:ascii="Californian FB" w:hAnsi="Californian FB"/>
          <w:sz w:val="24"/>
          <w:szCs w:val="24"/>
        </w:rPr>
        <w:t>s</w:t>
      </w:r>
      <w:r w:rsidR="007D6A80" w:rsidRPr="00BE02F7">
        <w:rPr>
          <w:rFonts w:ascii="Californian FB" w:hAnsi="Californian FB"/>
          <w:sz w:val="24"/>
          <w:szCs w:val="24"/>
        </w:rPr>
        <w:t xml:space="preserve"> might agree to cooperatively create software that they all could use and customize</w:t>
      </w:r>
      <w:r w:rsidR="00D40B67" w:rsidRPr="00BE02F7">
        <w:rPr>
          <w:rFonts w:ascii="Californian FB" w:hAnsi="Californian FB"/>
          <w:sz w:val="24"/>
          <w:szCs w:val="24"/>
        </w:rPr>
        <w:t>; they might later decide to make that software available to other programmers to develop further</w:t>
      </w:r>
      <w:r w:rsidR="007D6A80" w:rsidRPr="00BE02F7">
        <w:rPr>
          <w:rFonts w:ascii="Californian FB" w:hAnsi="Californian FB"/>
          <w:sz w:val="24"/>
          <w:szCs w:val="24"/>
        </w:rPr>
        <w:t xml:space="preserve">.  </w:t>
      </w:r>
      <w:r w:rsidR="004A6DAE" w:rsidRPr="00BE02F7">
        <w:rPr>
          <w:rFonts w:ascii="Californian FB" w:hAnsi="Californian FB"/>
          <w:sz w:val="24"/>
          <w:szCs w:val="24"/>
        </w:rPr>
        <w:t>Local</w:t>
      </w:r>
      <w:r w:rsidR="00506A5C" w:rsidRPr="00BE02F7">
        <w:rPr>
          <w:rFonts w:ascii="Californian FB" w:hAnsi="Californian FB"/>
          <w:sz w:val="24"/>
          <w:szCs w:val="24"/>
        </w:rPr>
        <w:t xml:space="preserve"> a cappella groups </w:t>
      </w:r>
      <w:r w:rsidR="00D40B67" w:rsidRPr="00BE02F7">
        <w:rPr>
          <w:rFonts w:ascii="Californian FB" w:hAnsi="Californian FB"/>
          <w:sz w:val="24"/>
          <w:szCs w:val="24"/>
        </w:rPr>
        <w:t xml:space="preserve">might </w:t>
      </w:r>
      <w:r w:rsidR="00506A5C" w:rsidRPr="00BE02F7">
        <w:rPr>
          <w:rFonts w:ascii="Californian FB" w:hAnsi="Californian FB"/>
          <w:sz w:val="24"/>
          <w:szCs w:val="24"/>
        </w:rPr>
        <w:t xml:space="preserve">create and sing arrangements of songs composed by </w:t>
      </w:r>
      <w:r w:rsidR="00627460" w:rsidRPr="00BE02F7">
        <w:rPr>
          <w:rFonts w:ascii="Californian FB" w:hAnsi="Californian FB"/>
          <w:sz w:val="24"/>
          <w:szCs w:val="24"/>
        </w:rPr>
        <w:t>Stevie Wonder or Sara Bareilles</w:t>
      </w:r>
      <w:r w:rsidR="00506A5C" w:rsidRPr="00BE02F7">
        <w:rPr>
          <w:rFonts w:ascii="Californian FB" w:hAnsi="Californian FB"/>
          <w:sz w:val="24"/>
          <w:szCs w:val="24"/>
        </w:rPr>
        <w:t xml:space="preserve">.  Fans of J.K. Rowling </w:t>
      </w:r>
      <w:r w:rsidR="00D40B67" w:rsidRPr="00BE02F7">
        <w:rPr>
          <w:rFonts w:ascii="Californian FB" w:hAnsi="Californian FB"/>
          <w:sz w:val="24"/>
          <w:szCs w:val="24"/>
        </w:rPr>
        <w:t xml:space="preserve">might </w:t>
      </w:r>
      <w:r w:rsidR="00506A5C" w:rsidRPr="00BE02F7">
        <w:rPr>
          <w:rFonts w:ascii="Californian FB" w:hAnsi="Californian FB"/>
          <w:sz w:val="24"/>
          <w:szCs w:val="24"/>
        </w:rPr>
        <w:t>write new stories featuring characte</w:t>
      </w:r>
      <w:r w:rsidR="00627460" w:rsidRPr="00BE02F7">
        <w:rPr>
          <w:rFonts w:ascii="Californian FB" w:hAnsi="Californian FB"/>
          <w:sz w:val="24"/>
          <w:szCs w:val="24"/>
        </w:rPr>
        <w:t xml:space="preserve">rs in the Harry Potter series. </w:t>
      </w:r>
    </w:p>
    <w:p w14:paraId="1BE2C640" w14:textId="45E1F9A1" w:rsidR="00213E6B" w:rsidRPr="00BE02F7" w:rsidRDefault="00166E80" w:rsidP="00ED6BE0">
      <w:pPr>
        <w:jc w:val="both"/>
        <w:rPr>
          <w:rFonts w:ascii="Californian FB" w:hAnsi="Californian FB"/>
          <w:sz w:val="24"/>
          <w:szCs w:val="24"/>
        </w:rPr>
      </w:pPr>
      <w:r w:rsidRPr="00BE02F7">
        <w:rPr>
          <w:rFonts w:ascii="Californian FB" w:hAnsi="Californian FB"/>
          <w:sz w:val="24"/>
          <w:szCs w:val="24"/>
        </w:rPr>
        <w:tab/>
      </w:r>
      <w:r w:rsidR="00B303B4" w:rsidRPr="00BE02F7">
        <w:rPr>
          <w:rFonts w:ascii="Californian FB" w:hAnsi="Californian FB"/>
          <w:sz w:val="24"/>
          <w:szCs w:val="24"/>
        </w:rPr>
        <w:t xml:space="preserve">Many technologies that spread during the twentieth century </w:t>
      </w:r>
      <w:r w:rsidR="007D6A80" w:rsidRPr="00BE02F7">
        <w:rPr>
          <w:rFonts w:ascii="Californian FB" w:hAnsi="Californian FB"/>
          <w:sz w:val="24"/>
          <w:szCs w:val="24"/>
        </w:rPr>
        <w:t>seemed to favor</w:t>
      </w:r>
      <w:r w:rsidR="00B303B4" w:rsidRPr="00BE02F7">
        <w:rPr>
          <w:rFonts w:ascii="Californian FB" w:hAnsi="Californian FB"/>
          <w:sz w:val="24"/>
          <w:szCs w:val="24"/>
        </w:rPr>
        <w:t xml:space="preserve"> professional creation of culture and a sharper distinction between producer and audience.  Sound recording </w:t>
      </w:r>
      <w:r w:rsidR="00945400" w:rsidRPr="00BE02F7">
        <w:rPr>
          <w:rFonts w:ascii="Californian FB" w:hAnsi="Californian FB"/>
          <w:sz w:val="24"/>
          <w:szCs w:val="24"/>
        </w:rPr>
        <w:t>technology and p</w:t>
      </w:r>
      <w:r w:rsidR="00B303B4" w:rsidRPr="00BE02F7">
        <w:rPr>
          <w:rFonts w:ascii="Californian FB" w:hAnsi="Californian FB"/>
          <w:sz w:val="24"/>
          <w:szCs w:val="24"/>
        </w:rPr>
        <w:t xml:space="preserve">honographs enabled centralized creation and decentralized enjoyment of prerecorded music.  </w:t>
      </w:r>
      <w:r w:rsidR="00945400" w:rsidRPr="00BE02F7">
        <w:rPr>
          <w:rFonts w:ascii="Californian FB" w:hAnsi="Californian FB"/>
          <w:sz w:val="24"/>
          <w:szCs w:val="24"/>
        </w:rPr>
        <w:t>Motion pictures similarly enabled centralized creation and decentralized enjoyment of drama and other audiovisual productions.  Broadcasting technologies -- r</w:t>
      </w:r>
      <w:r w:rsidR="00B303B4" w:rsidRPr="00BE02F7">
        <w:rPr>
          <w:rFonts w:ascii="Californian FB" w:hAnsi="Californian FB"/>
          <w:sz w:val="24"/>
          <w:szCs w:val="24"/>
        </w:rPr>
        <w:t xml:space="preserve">adio and television </w:t>
      </w:r>
      <w:r w:rsidR="00945400" w:rsidRPr="00BE02F7">
        <w:rPr>
          <w:rFonts w:ascii="Californian FB" w:hAnsi="Californian FB"/>
          <w:sz w:val="24"/>
          <w:szCs w:val="24"/>
        </w:rPr>
        <w:t xml:space="preserve">– enabled instant transmission of performances, spreading their range from a single room to hundreds of miles.  Copyright law aided in </w:t>
      </w:r>
      <w:r w:rsidR="00735036" w:rsidRPr="00BE02F7">
        <w:rPr>
          <w:rFonts w:ascii="Californian FB" w:hAnsi="Californian FB"/>
          <w:sz w:val="24"/>
          <w:szCs w:val="24"/>
        </w:rPr>
        <w:t>the development of</w:t>
      </w:r>
      <w:r w:rsidR="00945400" w:rsidRPr="00BE02F7">
        <w:rPr>
          <w:rFonts w:ascii="Californian FB" w:hAnsi="Californian FB"/>
          <w:sz w:val="24"/>
          <w:szCs w:val="24"/>
        </w:rPr>
        <w:t xml:space="preserve"> professional cultural production by protecting the</w:t>
      </w:r>
      <w:r w:rsidR="003D0F18" w:rsidRPr="00BE02F7">
        <w:rPr>
          <w:rFonts w:ascii="Californian FB" w:hAnsi="Californian FB"/>
          <w:sz w:val="24"/>
          <w:szCs w:val="24"/>
        </w:rPr>
        <w:t xml:space="preserve"> results of those activities</w:t>
      </w:r>
      <w:r w:rsidR="00213E6B" w:rsidRPr="00BE02F7">
        <w:rPr>
          <w:rFonts w:ascii="Californian FB" w:hAnsi="Californian FB"/>
          <w:sz w:val="24"/>
          <w:szCs w:val="24"/>
        </w:rPr>
        <w:t xml:space="preserve">.  Those who produced movies, sound recordings, books, TV shows, and the like </w:t>
      </w:r>
      <w:r w:rsidR="00D2095A" w:rsidRPr="00BE02F7">
        <w:rPr>
          <w:rFonts w:ascii="Californian FB" w:hAnsi="Californian FB"/>
          <w:sz w:val="24"/>
          <w:szCs w:val="24"/>
        </w:rPr>
        <w:t xml:space="preserve">gained </w:t>
      </w:r>
      <w:r w:rsidR="00213E6B" w:rsidRPr="00BE02F7">
        <w:rPr>
          <w:rFonts w:ascii="Californian FB" w:hAnsi="Californian FB"/>
          <w:sz w:val="24"/>
          <w:szCs w:val="24"/>
        </w:rPr>
        <w:t>ownership rights in them, and could sue those who made unauthorized copies or performances of them.</w:t>
      </w:r>
      <w:r w:rsidR="00C1438E" w:rsidRPr="00BE02F7">
        <w:rPr>
          <w:rFonts w:ascii="Californian FB" w:hAnsi="Californian FB"/>
          <w:sz w:val="24"/>
          <w:szCs w:val="24"/>
        </w:rPr>
        <w:t xml:space="preserve">  And, one could argue, this had many salutary consequences.  For example, previously only the wealthy could afford to buy tickets to see and hear the best performers in the world.  </w:t>
      </w:r>
      <w:r w:rsidR="003D0F18" w:rsidRPr="00BE02F7">
        <w:rPr>
          <w:rFonts w:ascii="Californian FB" w:hAnsi="Californian FB"/>
          <w:sz w:val="24"/>
          <w:szCs w:val="24"/>
        </w:rPr>
        <w:t>After</w:t>
      </w:r>
      <w:r w:rsidR="007D6A80" w:rsidRPr="00BE02F7">
        <w:rPr>
          <w:rFonts w:ascii="Californian FB" w:hAnsi="Californian FB"/>
          <w:sz w:val="24"/>
          <w:szCs w:val="24"/>
        </w:rPr>
        <w:t xml:space="preserve"> advances in recording</w:t>
      </w:r>
      <w:r w:rsidR="00C1438E" w:rsidRPr="00BE02F7">
        <w:rPr>
          <w:rFonts w:ascii="Californian FB" w:hAnsi="Californian FB"/>
          <w:sz w:val="24"/>
          <w:szCs w:val="24"/>
        </w:rPr>
        <w:t xml:space="preserve"> and distribution </w:t>
      </w:r>
      <w:r w:rsidR="00C1438E" w:rsidRPr="00BE02F7">
        <w:rPr>
          <w:rFonts w:ascii="Californian FB" w:hAnsi="Californian FB"/>
          <w:sz w:val="24"/>
          <w:szCs w:val="24"/>
        </w:rPr>
        <w:lastRenderedPageBreak/>
        <w:t>technologies</w:t>
      </w:r>
      <w:r w:rsidR="003D0F18" w:rsidRPr="00BE02F7">
        <w:rPr>
          <w:rFonts w:ascii="Californian FB" w:hAnsi="Californian FB"/>
          <w:sz w:val="24"/>
          <w:szCs w:val="24"/>
        </w:rPr>
        <w:t>, with works</w:t>
      </w:r>
      <w:r w:rsidR="00C1438E" w:rsidRPr="00BE02F7">
        <w:rPr>
          <w:rFonts w:ascii="Californian FB" w:hAnsi="Californian FB"/>
          <w:sz w:val="24"/>
          <w:szCs w:val="24"/>
        </w:rPr>
        <w:t xml:space="preserve"> protected by copyright and often funded by advertising, virtually everyone </w:t>
      </w:r>
      <w:r w:rsidR="003D0F18" w:rsidRPr="00BE02F7">
        <w:rPr>
          <w:rFonts w:ascii="Californian FB" w:hAnsi="Californian FB"/>
          <w:sz w:val="24"/>
          <w:szCs w:val="24"/>
        </w:rPr>
        <w:t xml:space="preserve">could </w:t>
      </w:r>
      <w:r w:rsidR="00C1438E" w:rsidRPr="00BE02F7">
        <w:rPr>
          <w:rFonts w:ascii="Californian FB" w:hAnsi="Californian FB"/>
          <w:sz w:val="24"/>
          <w:szCs w:val="24"/>
        </w:rPr>
        <w:t>see and hear the best performers in the world.</w:t>
      </w:r>
    </w:p>
    <w:p w14:paraId="06288607" w14:textId="47AB110B" w:rsidR="003D0F18" w:rsidRPr="00BE02F7" w:rsidRDefault="00213E6B" w:rsidP="00ED6BE0">
      <w:pPr>
        <w:shd w:val="clear" w:color="auto" w:fill="FFFFFF"/>
        <w:jc w:val="both"/>
        <w:rPr>
          <w:rFonts w:ascii="Californian FB" w:hAnsi="Californian FB"/>
          <w:sz w:val="24"/>
          <w:szCs w:val="24"/>
        </w:rPr>
      </w:pPr>
      <w:r w:rsidRPr="00BE02F7">
        <w:rPr>
          <w:rFonts w:ascii="Californian FB" w:hAnsi="Californian FB"/>
          <w:sz w:val="24"/>
          <w:szCs w:val="24"/>
        </w:rPr>
        <w:tab/>
      </w:r>
      <w:r w:rsidR="00C1438E" w:rsidRPr="00BE02F7">
        <w:rPr>
          <w:rFonts w:ascii="Californian FB" w:hAnsi="Californian FB"/>
          <w:sz w:val="24"/>
          <w:szCs w:val="24"/>
        </w:rPr>
        <w:t>M</w:t>
      </w:r>
      <w:r w:rsidRPr="00BE02F7">
        <w:rPr>
          <w:rFonts w:ascii="Californian FB" w:hAnsi="Californian FB"/>
          <w:sz w:val="24"/>
          <w:szCs w:val="24"/>
        </w:rPr>
        <w:t xml:space="preserve">ore recent production and distribution technologies – chiefly, computer software of various kinds and the </w:t>
      </w:r>
      <w:r w:rsidR="008D1DDB" w:rsidRPr="00BE02F7">
        <w:rPr>
          <w:rFonts w:ascii="Californian FB" w:hAnsi="Californian FB"/>
          <w:sz w:val="24"/>
          <w:szCs w:val="24"/>
        </w:rPr>
        <w:t>i</w:t>
      </w:r>
      <w:r w:rsidRPr="00BE02F7">
        <w:rPr>
          <w:rFonts w:ascii="Californian FB" w:hAnsi="Californian FB"/>
          <w:sz w:val="24"/>
          <w:szCs w:val="24"/>
        </w:rPr>
        <w:t xml:space="preserve">nternet – have </w:t>
      </w:r>
      <w:r w:rsidR="00695B38" w:rsidRPr="00BE02F7">
        <w:rPr>
          <w:rFonts w:ascii="Californian FB" w:hAnsi="Californian FB"/>
          <w:sz w:val="24"/>
          <w:szCs w:val="24"/>
        </w:rPr>
        <w:t xml:space="preserve">enabled </w:t>
      </w:r>
      <w:r w:rsidRPr="00BE02F7">
        <w:rPr>
          <w:rFonts w:ascii="Californian FB" w:hAnsi="Californian FB"/>
          <w:sz w:val="24"/>
          <w:szCs w:val="24"/>
        </w:rPr>
        <w:t xml:space="preserve">the </w:t>
      </w:r>
      <w:r w:rsidR="003D0F18" w:rsidRPr="00BE02F7">
        <w:rPr>
          <w:rFonts w:ascii="Californian FB" w:hAnsi="Californian FB"/>
          <w:sz w:val="24"/>
          <w:szCs w:val="24"/>
        </w:rPr>
        <w:t>development of</w:t>
      </w:r>
      <w:r w:rsidRPr="00BE02F7">
        <w:rPr>
          <w:rFonts w:ascii="Californian FB" w:hAnsi="Californian FB"/>
          <w:sz w:val="24"/>
          <w:szCs w:val="24"/>
        </w:rPr>
        <w:t xml:space="preserve"> more decentralized, </w:t>
      </w:r>
      <w:r w:rsidR="00695B38" w:rsidRPr="00BE02F7">
        <w:rPr>
          <w:rFonts w:ascii="Californian FB" w:hAnsi="Californian FB"/>
          <w:sz w:val="24"/>
          <w:szCs w:val="24"/>
        </w:rPr>
        <w:t xml:space="preserve">nonmarket, </w:t>
      </w:r>
      <w:r w:rsidRPr="00BE02F7">
        <w:rPr>
          <w:rFonts w:ascii="Californian FB" w:hAnsi="Californian FB"/>
          <w:sz w:val="24"/>
          <w:szCs w:val="24"/>
        </w:rPr>
        <w:t>amateur production of culture.  Video and audio software make it relatively easy to create new audiovisual works and sound recordings</w:t>
      </w:r>
      <w:r w:rsidR="003D0F18" w:rsidRPr="00BE02F7">
        <w:rPr>
          <w:rFonts w:ascii="Californian FB" w:hAnsi="Californian FB"/>
          <w:sz w:val="24"/>
          <w:szCs w:val="24"/>
        </w:rPr>
        <w:t xml:space="preserve"> and</w:t>
      </w:r>
      <w:r w:rsidR="008D1DDB" w:rsidRPr="00BE02F7">
        <w:rPr>
          <w:rFonts w:ascii="Californian FB" w:hAnsi="Californian FB"/>
          <w:sz w:val="24"/>
          <w:szCs w:val="24"/>
        </w:rPr>
        <w:t xml:space="preserve"> particularly easy </w:t>
      </w:r>
      <w:r w:rsidRPr="00BE02F7">
        <w:rPr>
          <w:rFonts w:ascii="Californian FB" w:hAnsi="Californian FB"/>
          <w:sz w:val="24"/>
          <w:szCs w:val="24"/>
        </w:rPr>
        <w:t>to incorporate, combin</w:t>
      </w:r>
      <w:r w:rsidR="000C7C21" w:rsidRPr="00BE02F7">
        <w:rPr>
          <w:rFonts w:ascii="Californian FB" w:hAnsi="Californian FB"/>
          <w:sz w:val="24"/>
          <w:szCs w:val="24"/>
        </w:rPr>
        <w:t>e</w:t>
      </w:r>
      <w:r w:rsidR="003D0F18" w:rsidRPr="00BE02F7">
        <w:rPr>
          <w:rFonts w:ascii="Californian FB" w:hAnsi="Californian FB"/>
          <w:sz w:val="24"/>
          <w:szCs w:val="24"/>
        </w:rPr>
        <w:t>,</w:t>
      </w:r>
      <w:r w:rsidR="000C7C21" w:rsidRPr="00BE02F7">
        <w:rPr>
          <w:rFonts w:ascii="Californian FB" w:hAnsi="Californian FB"/>
          <w:sz w:val="24"/>
          <w:szCs w:val="24"/>
        </w:rPr>
        <w:t xml:space="preserve"> and alter previously created a</w:t>
      </w:r>
      <w:r w:rsidRPr="00BE02F7">
        <w:rPr>
          <w:rFonts w:ascii="Californian FB" w:hAnsi="Californian FB"/>
          <w:sz w:val="24"/>
          <w:szCs w:val="24"/>
        </w:rPr>
        <w:t>udio</w:t>
      </w:r>
      <w:r w:rsidR="000C7C21" w:rsidRPr="00BE02F7">
        <w:rPr>
          <w:rFonts w:ascii="Californian FB" w:hAnsi="Californian FB"/>
          <w:sz w:val="24"/>
          <w:szCs w:val="24"/>
        </w:rPr>
        <w:t xml:space="preserve"> and video</w:t>
      </w:r>
      <w:r w:rsidRPr="00BE02F7">
        <w:rPr>
          <w:rFonts w:ascii="Californian FB" w:hAnsi="Californian FB"/>
          <w:sz w:val="24"/>
          <w:szCs w:val="24"/>
        </w:rPr>
        <w:t xml:space="preserve">, creating “remixes” </w:t>
      </w:r>
      <w:r w:rsidR="000C7C21" w:rsidRPr="00BE02F7">
        <w:rPr>
          <w:rFonts w:ascii="Californian FB" w:hAnsi="Californian FB"/>
          <w:sz w:val="24"/>
          <w:szCs w:val="24"/>
        </w:rPr>
        <w:t>or “mashups</w:t>
      </w:r>
      <w:r w:rsidR="003D0F18" w:rsidRPr="00BE02F7">
        <w:rPr>
          <w:rFonts w:ascii="Californian FB" w:hAnsi="Californian FB"/>
          <w:sz w:val="24"/>
          <w:szCs w:val="24"/>
        </w:rPr>
        <w:t>.”</w:t>
      </w:r>
      <w:r w:rsidR="00C33916" w:rsidRPr="00BE02F7">
        <w:rPr>
          <w:rFonts w:ascii="Californian FB" w:hAnsi="Californian FB"/>
          <w:sz w:val="24"/>
          <w:szCs w:val="24"/>
        </w:rPr>
        <w:t xml:space="preserve">  The concept of “user-generated content” rose to prominence in the mid-2000s, and in 2006 the Time Magazine </w:t>
      </w:r>
      <w:r w:rsidR="008D1DDB" w:rsidRPr="00BE02F7">
        <w:rPr>
          <w:rFonts w:ascii="Californian FB" w:hAnsi="Californian FB"/>
          <w:sz w:val="24"/>
          <w:szCs w:val="24"/>
        </w:rPr>
        <w:t>Person</w:t>
      </w:r>
      <w:r w:rsidR="00C33916" w:rsidRPr="00BE02F7">
        <w:rPr>
          <w:rFonts w:ascii="Californian FB" w:hAnsi="Californian FB"/>
          <w:sz w:val="24"/>
          <w:szCs w:val="24"/>
        </w:rPr>
        <w:t xml:space="preserve"> of the Year was “You,” to mark the rise of broadly</w:t>
      </w:r>
      <w:r w:rsidR="007B7B4D" w:rsidRPr="00BE02F7">
        <w:rPr>
          <w:rFonts w:ascii="Californian FB" w:hAnsi="Californian FB"/>
          <w:sz w:val="24"/>
          <w:szCs w:val="24"/>
        </w:rPr>
        <w:t xml:space="preserve"> </w:t>
      </w:r>
      <w:r w:rsidR="00C33916" w:rsidRPr="00BE02F7">
        <w:rPr>
          <w:rFonts w:ascii="Californian FB" w:hAnsi="Californian FB"/>
          <w:sz w:val="24"/>
          <w:szCs w:val="24"/>
        </w:rPr>
        <w:t xml:space="preserve">distributed amateur content, from America’s Funniest Home Videos to millions of </w:t>
      </w:r>
      <w:r w:rsidR="007B7B4D" w:rsidRPr="00BE02F7">
        <w:rPr>
          <w:rFonts w:ascii="Californian FB" w:hAnsi="Californian FB"/>
          <w:sz w:val="24"/>
          <w:szCs w:val="24"/>
        </w:rPr>
        <w:t>creative works</w:t>
      </w:r>
      <w:r w:rsidR="003D0F18" w:rsidRPr="00BE02F7">
        <w:rPr>
          <w:rFonts w:ascii="Californian FB" w:hAnsi="Californian FB"/>
          <w:sz w:val="24"/>
          <w:szCs w:val="24"/>
        </w:rPr>
        <w:t xml:space="preserve"> </w:t>
      </w:r>
      <w:r w:rsidR="00C33916" w:rsidRPr="00BE02F7">
        <w:rPr>
          <w:rFonts w:ascii="Californian FB" w:hAnsi="Californian FB"/>
          <w:sz w:val="24"/>
          <w:szCs w:val="24"/>
        </w:rPr>
        <w:t>posted on YouTube.</w:t>
      </w:r>
      <w:r w:rsidR="008D1DDB" w:rsidRPr="00BE02F7">
        <w:rPr>
          <w:rFonts w:ascii="Californian FB" w:hAnsi="Californian FB"/>
          <w:sz w:val="24"/>
          <w:szCs w:val="24"/>
        </w:rPr>
        <w:t xml:space="preserve">  </w:t>
      </w:r>
      <w:r w:rsidR="008D1DDB" w:rsidRPr="00BE02F7">
        <w:rPr>
          <w:rFonts w:ascii="Californian FB" w:hAnsi="Californian FB"/>
          <w:i/>
          <w:sz w:val="24"/>
          <w:szCs w:val="24"/>
        </w:rPr>
        <w:t xml:space="preserve">See </w:t>
      </w:r>
      <w:r w:rsidR="008D1DDB" w:rsidRPr="00BE02F7">
        <w:rPr>
          <w:rFonts w:ascii="Californian FB" w:hAnsi="Californian FB"/>
          <w:sz w:val="24"/>
          <w:szCs w:val="24"/>
        </w:rPr>
        <w:t xml:space="preserve">Lev Grossman, “You – Yes, </w:t>
      </w:r>
      <w:proofErr w:type="gramStart"/>
      <w:r w:rsidR="008D1DDB" w:rsidRPr="00BE02F7">
        <w:rPr>
          <w:rFonts w:ascii="Californian FB" w:hAnsi="Californian FB"/>
          <w:sz w:val="24"/>
          <w:szCs w:val="24"/>
        </w:rPr>
        <w:t>You</w:t>
      </w:r>
      <w:proofErr w:type="gramEnd"/>
      <w:r w:rsidR="008D1DDB" w:rsidRPr="00BE02F7">
        <w:rPr>
          <w:rFonts w:ascii="Californian FB" w:hAnsi="Californian FB"/>
          <w:sz w:val="24"/>
          <w:szCs w:val="24"/>
        </w:rPr>
        <w:t xml:space="preserve"> – Are TIME’s Person of the Year,” Time, December 13, 2006. </w:t>
      </w:r>
      <w:r w:rsidR="000154CF" w:rsidRPr="00BE02F7">
        <w:rPr>
          <w:rFonts w:ascii="Californian FB" w:hAnsi="Californian FB"/>
          <w:sz w:val="24"/>
          <w:szCs w:val="24"/>
        </w:rPr>
        <w:t>Similarly, t</w:t>
      </w:r>
      <w:r w:rsidR="008D1DDB" w:rsidRPr="00BE02F7">
        <w:rPr>
          <w:rFonts w:ascii="Californian FB" w:hAnsi="Californian FB"/>
          <w:sz w:val="24"/>
          <w:szCs w:val="24"/>
        </w:rPr>
        <w:t xml:space="preserve">he </w:t>
      </w:r>
      <w:r w:rsidR="006D7FE5" w:rsidRPr="00BE02F7">
        <w:rPr>
          <w:rFonts w:ascii="Californian FB" w:hAnsi="Californian FB"/>
          <w:sz w:val="24"/>
          <w:szCs w:val="24"/>
        </w:rPr>
        <w:t xml:space="preserve">internet has greatly aided </w:t>
      </w:r>
      <w:r w:rsidR="008D1DDB" w:rsidRPr="00BE02F7">
        <w:rPr>
          <w:rFonts w:ascii="Californian FB" w:hAnsi="Californian FB"/>
          <w:sz w:val="24"/>
          <w:szCs w:val="24"/>
        </w:rPr>
        <w:t>distribution of “fan fiction,” or “fanfic” – fiction written by amateurs th</w:t>
      </w:r>
      <w:r w:rsidR="006D7FE5" w:rsidRPr="00BE02F7">
        <w:rPr>
          <w:rFonts w:ascii="Californian FB" w:hAnsi="Californian FB"/>
          <w:sz w:val="24"/>
          <w:szCs w:val="24"/>
        </w:rPr>
        <w:t xml:space="preserve">at </w:t>
      </w:r>
      <w:r w:rsidR="003D0F18" w:rsidRPr="00BE02F7">
        <w:rPr>
          <w:rFonts w:ascii="Californian FB" w:hAnsi="Californian FB"/>
          <w:sz w:val="24"/>
          <w:szCs w:val="24"/>
        </w:rPr>
        <w:t xml:space="preserve">incorporates </w:t>
      </w:r>
      <w:r w:rsidR="008D1DDB" w:rsidRPr="00BE02F7">
        <w:rPr>
          <w:rFonts w:ascii="Californian FB" w:hAnsi="Californian FB"/>
          <w:sz w:val="24"/>
          <w:szCs w:val="24"/>
        </w:rPr>
        <w:t xml:space="preserve">characters and settings from professionally published </w:t>
      </w:r>
      <w:r w:rsidR="003D0F18" w:rsidRPr="00BE02F7">
        <w:rPr>
          <w:rFonts w:ascii="Californian FB" w:hAnsi="Californian FB"/>
          <w:sz w:val="24"/>
          <w:szCs w:val="24"/>
        </w:rPr>
        <w:t>written works</w:t>
      </w:r>
      <w:r w:rsidR="008D1DDB" w:rsidRPr="00BE02F7">
        <w:rPr>
          <w:rFonts w:ascii="Californian FB" w:hAnsi="Californian FB"/>
          <w:sz w:val="24"/>
          <w:szCs w:val="24"/>
        </w:rPr>
        <w:t>.</w:t>
      </w:r>
      <w:r w:rsidR="00695B38" w:rsidRPr="00BE02F7">
        <w:rPr>
          <w:rFonts w:ascii="Californian FB" w:hAnsi="Californian FB"/>
          <w:sz w:val="24"/>
          <w:szCs w:val="24"/>
        </w:rPr>
        <w:t xml:space="preserve">  </w:t>
      </w:r>
    </w:p>
    <w:p w14:paraId="65DC478F" w14:textId="3B391EDE" w:rsidR="00DA7CE3" w:rsidRPr="00BE02F7" w:rsidRDefault="003D0F18" w:rsidP="00ED6BE0">
      <w:pPr>
        <w:shd w:val="clear" w:color="auto" w:fill="FFFFFF"/>
        <w:ind w:firstLine="720"/>
        <w:jc w:val="both"/>
        <w:rPr>
          <w:rFonts w:ascii="Californian FB" w:eastAsia="Times New Roman" w:hAnsi="Californian FB" w:cstheme="minorHAnsi"/>
          <w:sz w:val="24"/>
          <w:szCs w:val="24"/>
        </w:rPr>
      </w:pPr>
      <w:r w:rsidRPr="00BE02F7">
        <w:rPr>
          <w:rFonts w:ascii="Californian FB" w:hAnsi="Californian FB"/>
          <w:sz w:val="24"/>
          <w:szCs w:val="24"/>
        </w:rPr>
        <w:t xml:space="preserve">Some have argued that these developments have fostered a “remix culture” or “mashup culture” in which amateur participation has risen.  See, e.g., Lawrence Lessig, Remix: Making Art and Commerce Thrive in the Hybrid Economy (2008); Eduardo </w:t>
      </w:r>
      <w:proofErr w:type="spellStart"/>
      <w:r w:rsidRPr="00BE02F7">
        <w:rPr>
          <w:rFonts w:ascii="Californian FB" w:hAnsi="Californian FB"/>
          <w:sz w:val="24"/>
          <w:szCs w:val="24"/>
        </w:rPr>
        <w:t>Navas</w:t>
      </w:r>
      <w:proofErr w:type="spellEnd"/>
      <w:r w:rsidRPr="00BE02F7">
        <w:rPr>
          <w:rFonts w:ascii="Californian FB" w:hAnsi="Californian FB"/>
          <w:sz w:val="24"/>
          <w:szCs w:val="24"/>
        </w:rPr>
        <w:t xml:space="preserve">, Remix Theory: The Aesthetics of Sampling (2012).  (Professor Lessig also coined the term “read-only culture” to refer to a system of cultural production in which most people could only passively consume cultural products, and “read-write culture” to refer to a system in which people could more actively shape and reshape the cultural products that circulated in society.) </w:t>
      </w:r>
      <w:r w:rsidR="00695B38" w:rsidRPr="00BE02F7">
        <w:rPr>
          <w:rFonts w:ascii="Californian FB" w:hAnsi="Californian FB"/>
          <w:sz w:val="24"/>
          <w:szCs w:val="24"/>
        </w:rPr>
        <w:t xml:space="preserve">Yochai </w:t>
      </w:r>
      <w:proofErr w:type="spellStart"/>
      <w:r w:rsidR="00695B38" w:rsidRPr="00BE02F7">
        <w:rPr>
          <w:rFonts w:ascii="Californian FB" w:hAnsi="Californian FB"/>
          <w:sz w:val="24"/>
          <w:szCs w:val="24"/>
        </w:rPr>
        <w:t>Benkler</w:t>
      </w:r>
      <w:proofErr w:type="spellEnd"/>
      <w:r w:rsidR="00695B38" w:rsidRPr="00BE02F7">
        <w:rPr>
          <w:rFonts w:ascii="Californian FB" w:hAnsi="Californian FB"/>
          <w:sz w:val="24"/>
          <w:szCs w:val="24"/>
        </w:rPr>
        <w:t xml:space="preserve"> </w:t>
      </w:r>
      <w:r w:rsidR="00DA7CE3" w:rsidRPr="00BE02F7">
        <w:rPr>
          <w:rFonts w:ascii="Californian FB" w:hAnsi="Californian FB"/>
          <w:sz w:val="24"/>
          <w:szCs w:val="24"/>
        </w:rPr>
        <w:t xml:space="preserve">has argued that </w:t>
      </w:r>
      <w:r w:rsidR="001A7B22" w:rsidRPr="00BE02F7">
        <w:rPr>
          <w:rFonts w:ascii="Californian FB" w:hAnsi="Californian FB"/>
          <w:sz w:val="24"/>
          <w:szCs w:val="24"/>
        </w:rPr>
        <w:t xml:space="preserve">this </w:t>
      </w:r>
      <w:r w:rsidR="00DA7CE3" w:rsidRPr="00BE02F7">
        <w:rPr>
          <w:rFonts w:ascii="Californian FB" w:hAnsi="Californian FB"/>
          <w:sz w:val="24"/>
          <w:szCs w:val="24"/>
        </w:rPr>
        <w:t xml:space="preserve">rise in nonmarket and nonproprietary cultural production, both by individuals </w:t>
      </w:r>
      <w:r w:rsidR="00DA7CE3" w:rsidRPr="00BE02F7">
        <w:rPr>
          <w:rFonts w:ascii="Californian FB" w:hAnsi="Californian FB" w:cstheme="minorHAnsi"/>
          <w:sz w:val="24"/>
          <w:szCs w:val="24"/>
        </w:rPr>
        <w:t>and collaborative groups, “</w:t>
      </w:r>
      <w:r w:rsidR="00DA7CE3" w:rsidRPr="00BE02F7">
        <w:rPr>
          <w:rFonts w:ascii="Californian FB" w:eastAsia="Times New Roman" w:hAnsi="Californian FB" w:cstheme="minorHAnsi"/>
          <w:sz w:val="24"/>
          <w:szCs w:val="24"/>
        </w:rPr>
        <w:t xml:space="preserve">holds great practical promise: as a dimension of individual freedom; as a platform for better democratic participation; as a medium to foster a more </w:t>
      </w:r>
      <w:proofErr w:type="gramStart"/>
      <w:r w:rsidR="00DA7CE3" w:rsidRPr="00BE02F7">
        <w:rPr>
          <w:rFonts w:ascii="Californian FB" w:eastAsia="Times New Roman" w:hAnsi="Californian FB" w:cstheme="minorHAnsi"/>
          <w:sz w:val="24"/>
          <w:szCs w:val="24"/>
        </w:rPr>
        <w:t>critical  and</w:t>
      </w:r>
      <w:proofErr w:type="gramEnd"/>
      <w:r w:rsidR="00DA7CE3" w:rsidRPr="00BE02F7">
        <w:rPr>
          <w:rFonts w:ascii="Californian FB" w:eastAsia="Times New Roman" w:hAnsi="Californian FB" w:cstheme="minorHAnsi"/>
          <w:sz w:val="24"/>
          <w:szCs w:val="24"/>
        </w:rPr>
        <w:t xml:space="preserve">  self-reflective  culture;  and,  in  an  increasingly  information-dependent  global  economy,  as  a  mechanism  to  achieve  improvements  in human development everywhere.”  Yochai </w:t>
      </w:r>
      <w:proofErr w:type="spellStart"/>
      <w:r w:rsidR="00DA7CE3" w:rsidRPr="00BE02F7">
        <w:rPr>
          <w:rFonts w:ascii="Californian FB" w:eastAsia="Times New Roman" w:hAnsi="Californian FB" w:cstheme="minorHAnsi"/>
          <w:sz w:val="24"/>
          <w:szCs w:val="24"/>
        </w:rPr>
        <w:t>Benkler</w:t>
      </w:r>
      <w:proofErr w:type="spellEnd"/>
      <w:r w:rsidR="00DA7CE3" w:rsidRPr="00BE02F7">
        <w:rPr>
          <w:rFonts w:ascii="Californian FB" w:eastAsia="Times New Roman" w:hAnsi="Californian FB" w:cstheme="minorHAnsi"/>
          <w:sz w:val="24"/>
          <w:szCs w:val="24"/>
        </w:rPr>
        <w:t xml:space="preserve">, </w:t>
      </w:r>
      <w:r w:rsidR="00A103B9" w:rsidRPr="00BE02F7">
        <w:rPr>
          <w:rFonts w:ascii="Californian FB" w:eastAsia="Times New Roman" w:hAnsi="Californian FB" w:cstheme="minorHAnsi"/>
          <w:sz w:val="24"/>
          <w:szCs w:val="24"/>
        </w:rPr>
        <w:t xml:space="preserve">The Wealth of Networks 2 (2006).  </w:t>
      </w:r>
      <w:r w:rsidR="0005032B" w:rsidRPr="0005032B">
        <w:rPr>
          <w:rFonts w:ascii="Californian FB" w:eastAsia="Times New Roman" w:hAnsi="Californian FB" w:cstheme="minorHAnsi"/>
          <w:sz w:val="24"/>
          <w:szCs w:val="24"/>
        </w:rPr>
        <w:t>William Fisher articulates a vision of a “semiotic democracy” in which “all persons would be able to participate in the process of meaning-making. Instead of being merely passive consumers of cultural artifacts produced by others, they would be producers, helping to shape the world of ideas and symbols in which they live.” William W. Fisher III, Property and Contract on the Internet, 73 Chi.-Kent L. Rev. 1203, 1237 (1998).</w:t>
      </w:r>
      <w:r w:rsidR="0005032B">
        <w:rPr>
          <w:rFonts w:ascii="Californian FB" w:eastAsia="Times New Roman" w:hAnsi="Californian FB" w:cstheme="minorHAnsi"/>
          <w:sz w:val="24"/>
          <w:szCs w:val="24"/>
        </w:rPr>
        <w:t xml:space="preserve"> </w:t>
      </w:r>
      <w:r w:rsidR="00A103B9" w:rsidRPr="00BE02F7">
        <w:rPr>
          <w:rFonts w:ascii="Californian FB" w:eastAsia="Times New Roman" w:hAnsi="Californian FB" w:cstheme="minorHAnsi"/>
          <w:sz w:val="24"/>
          <w:szCs w:val="24"/>
        </w:rPr>
        <w:t>Eric von Hippel expresses a similarly optimistic view of user innovation in Democratizing Innovation (2005).</w:t>
      </w:r>
    </w:p>
    <w:p w14:paraId="55FA617B" w14:textId="676792D3" w:rsidR="005C7CA5" w:rsidRDefault="004A6DAE" w:rsidP="00ED6BE0">
      <w:pPr>
        <w:shd w:val="clear" w:color="auto" w:fill="FFFFFF"/>
        <w:jc w:val="both"/>
        <w:rPr>
          <w:rFonts w:ascii="Californian FB" w:eastAsia="Times New Roman" w:hAnsi="Californian FB" w:cstheme="minorHAnsi"/>
          <w:sz w:val="24"/>
          <w:szCs w:val="24"/>
        </w:rPr>
      </w:pPr>
      <w:r w:rsidRPr="00BE02F7">
        <w:rPr>
          <w:rFonts w:ascii="Californian FB" w:eastAsia="Times New Roman" w:hAnsi="Californian FB" w:cstheme="minorHAnsi"/>
          <w:sz w:val="24"/>
          <w:szCs w:val="24"/>
        </w:rPr>
        <w:tab/>
      </w:r>
      <w:r w:rsidR="00C1438E" w:rsidRPr="00BE02F7">
        <w:rPr>
          <w:rFonts w:ascii="Californian FB" w:eastAsia="Times New Roman" w:hAnsi="Californian FB" w:cstheme="minorHAnsi"/>
          <w:sz w:val="24"/>
          <w:szCs w:val="24"/>
        </w:rPr>
        <w:t>Academics and cultural critics have argue</w:t>
      </w:r>
      <w:r w:rsidR="00EF15A6" w:rsidRPr="00BE02F7">
        <w:rPr>
          <w:rFonts w:ascii="Californian FB" w:eastAsia="Times New Roman" w:hAnsi="Californian FB" w:cstheme="minorHAnsi"/>
          <w:sz w:val="24"/>
          <w:szCs w:val="24"/>
        </w:rPr>
        <w:t>d</w:t>
      </w:r>
      <w:r w:rsidR="00C1438E" w:rsidRPr="00BE02F7">
        <w:rPr>
          <w:rFonts w:ascii="Californian FB" w:eastAsia="Times New Roman" w:hAnsi="Californian FB" w:cstheme="minorHAnsi"/>
          <w:sz w:val="24"/>
          <w:szCs w:val="24"/>
        </w:rPr>
        <w:t xml:space="preserve"> that c</w:t>
      </w:r>
      <w:r w:rsidRPr="00BE02F7">
        <w:rPr>
          <w:rFonts w:ascii="Californian FB" w:eastAsia="Times New Roman" w:hAnsi="Californian FB" w:cstheme="minorHAnsi"/>
          <w:sz w:val="24"/>
          <w:szCs w:val="24"/>
        </w:rPr>
        <w:t xml:space="preserve">opyright law </w:t>
      </w:r>
      <w:r w:rsidR="003D0F18" w:rsidRPr="00BE02F7">
        <w:rPr>
          <w:rFonts w:ascii="Californian FB" w:eastAsia="Times New Roman" w:hAnsi="Californian FB" w:cstheme="minorHAnsi"/>
          <w:sz w:val="24"/>
          <w:szCs w:val="24"/>
        </w:rPr>
        <w:t>can both</w:t>
      </w:r>
      <w:r w:rsidRPr="00BE02F7">
        <w:rPr>
          <w:rFonts w:ascii="Californian FB" w:eastAsia="Times New Roman" w:hAnsi="Californian FB" w:cstheme="minorHAnsi"/>
          <w:sz w:val="24"/>
          <w:szCs w:val="24"/>
        </w:rPr>
        <w:t xml:space="preserve"> hinder </w:t>
      </w:r>
      <w:r w:rsidR="003D0F18" w:rsidRPr="00BE02F7">
        <w:rPr>
          <w:rFonts w:ascii="Californian FB" w:eastAsia="Times New Roman" w:hAnsi="Californian FB" w:cstheme="minorHAnsi"/>
          <w:sz w:val="24"/>
          <w:szCs w:val="24"/>
        </w:rPr>
        <w:t xml:space="preserve">and </w:t>
      </w:r>
      <w:r w:rsidRPr="00BE02F7">
        <w:rPr>
          <w:rFonts w:ascii="Californian FB" w:eastAsia="Times New Roman" w:hAnsi="Californian FB" w:cstheme="minorHAnsi"/>
          <w:sz w:val="24"/>
          <w:szCs w:val="24"/>
        </w:rPr>
        <w:t xml:space="preserve">aid decentralized, nonmarket, amateur, collaborative cultural production.  </w:t>
      </w:r>
      <w:r w:rsidR="00C1438E" w:rsidRPr="00BE02F7">
        <w:rPr>
          <w:rFonts w:ascii="Californian FB" w:eastAsia="Times New Roman" w:hAnsi="Californian FB" w:cstheme="minorHAnsi"/>
          <w:sz w:val="24"/>
          <w:szCs w:val="24"/>
        </w:rPr>
        <w:t>Companies that professionally produce books</w:t>
      </w:r>
      <w:r w:rsidR="003D0F18" w:rsidRPr="00BE02F7">
        <w:rPr>
          <w:rFonts w:ascii="Californian FB" w:eastAsia="Times New Roman" w:hAnsi="Californian FB" w:cstheme="minorHAnsi"/>
          <w:sz w:val="24"/>
          <w:szCs w:val="24"/>
        </w:rPr>
        <w:t>,</w:t>
      </w:r>
      <w:r w:rsidR="00C1438E" w:rsidRPr="00BE02F7">
        <w:rPr>
          <w:rFonts w:ascii="Californian FB" w:eastAsia="Times New Roman" w:hAnsi="Californian FB" w:cstheme="minorHAnsi"/>
          <w:sz w:val="24"/>
          <w:szCs w:val="24"/>
        </w:rPr>
        <w:t xml:space="preserve"> movies</w:t>
      </w:r>
      <w:r w:rsidR="003D0F18" w:rsidRPr="00BE02F7">
        <w:rPr>
          <w:rFonts w:ascii="Californian FB" w:eastAsia="Times New Roman" w:hAnsi="Californian FB" w:cstheme="minorHAnsi"/>
          <w:sz w:val="24"/>
          <w:szCs w:val="24"/>
        </w:rPr>
        <w:t>,</w:t>
      </w:r>
      <w:r w:rsidR="00C1438E" w:rsidRPr="00BE02F7">
        <w:rPr>
          <w:rFonts w:ascii="Californian FB" w:eastAsia="Times New Roman" w:hAnsi="Californian FB" w:cstheme="minorHAnsi"/>
          <w:sz w:val="24"/>
          <w:szCs w:val="24"/>
        </w:rPr>
        <w:t xml:space="preserve"> and sound recordin</w:t>
      </w:r>
      <w:r w:rsidR="008E3B58" w:rsidRPr="00BE02F7">
        <w:rPr>
          <w:rFonts w:ascii="Californian FB" w:eastAsia="Times New Roman" w:hAnsi="Californian FB" w:cstheme="minorHAnsi"/>
          <w:sz w:val="24"/>
          <w:szCs w:val="24"/>
        </w:rPr>
        <w:t xml:space="preserve">gs can try to use copyright law to stop others from incorporating excerpts from or elements of those works in remixes, fan fiction, and other user-generated content. </w:t>
      </w:r>
      <w:r w:rsidR="00360B9F">
        <w:rPr>
          <w:rFonts w:ascii="Californian FB" w:eastAsia="Times New Roman" w:hAnsi="Californian FB" w:cstheme="minorHAnsi"/>
          <w:i/>
          <w:sz w:val="24"/>
          <w:szCs w:val="24"/>
        </w:rPr>
        <w:t xml:space="preserve">See, e.g., </w:t>
      </w:r>
      <w:r w:rsidR="00360B9F">
        <w:rPr>
          <w:rFonts w:ascii="Californian FB" w:eastAsia="Times New Roman" w:hAnsi="Californian FB" w:cstheme="minorHAnsi"/>
          <w:sz w:val="24"/>
          <w:szCs w:val="24"/>
        </w:rPr>
        <w:t xml:space="preserve">Rosemary Coombe, Objects of Property and Subjects of Politics: Intellectual Property Law and Democratic Dialogue, 69 Texas L. Rev. 1853 (1991); </w:t>
      </w:r>
      <w:r w:rsidR="00360B9F">
        <w:rPr>
          <w:rFonts w:ascii="Californian FB" w:eastAsia="Times New Roman" w:hAnsi="Californian FB" w:cstheme="minorHAnsi"/>
          <w:i/>
          <w:sz w:val="24"/>
          <w:szCs w:val="24"/>
        </w:rPr>
        <w:t xml:space="preserve">cf. </w:t>
      </w:r>
      <w:r w:rsidR="00360B9F">
        <w:rPr>
          <w:rFonts w:ascii="Californian FB" w:eastAsia="Times New Roman" w:hAnsi="Californian FB" w:cstheme="minorHAnsi"/>
          <w:sz w:val="24"/>
          <w:szCs w:val="24"/>
        </w:rPr>
        <w:t xml:space="preserve">Rochelle Cooper Dreyfuss, Expressive Genericity: Trademarks as Language in the Pepsi Generation, 65 Notre Dame L. Rev. 397 (1990).  </w:t>
      </w:r>
      <w:r w:rsidR="008E3B58" w:rsidRPr="00BE02F7">
        <w:rPr>
          <w:rFonts w:ascii="Californian FB" w:eastAsia="Times New Roman" w:hAnsi="Californian FB" w:cstheme="minorHAnsi"/>
          <w:sz w:val="24"/>
          <w:szCs w:val="24"/>
        </w:rPr>
        <w:t>If</w:t>
      </w:r>
      <w:r w:rsidR="006D7FE5" w:rsidRPr="00BE02F7">
        <w:rPr>
          <w:rFonts w:ascii="Californian FB" w:eastAsia="Times New Roman" w:hAnsi="Californian FB" w:cstheme="minorHAnsi"/>
          <w:sz w:val="24"/>
          <w:szCs w:val="24"/>
        </w:rPr>
        <w:t xml:space="preserve"> </w:t>
      </w:r>
      <w:r w:rsidR="008E3B58" w:rsidRPr="00BE02F7">
        <w:rPr>
          <w:rFonts w:ascii="Californian FB" w:eastAsia="Times New Roman" w:hAnsi="Californian FB" w:cstheme="minorHAnsi"/>
          <w:sz w:val="24"/>
          <w:szCs w:val="24"/>
        </w:rPr>
        <w:t>protection of works – especially protection of characters and settings in those works – is expanded broadly</w:t>
      </w:r>
      <w:r w:rsidR="006D7FE5" w:rsidRPr="00BE02F7">
        <w:rPr>
          <w:rFonts w:ascii="Californian FB" w:eastAsia="Times New Roman" w:hAnsi="Californian FB" w:cstheme="minorHAnsi"/>
          <w:sz w:val="24"/>
          <w:szCs w:val="24"/>
        </w:rPr>
        <w:t xml:space="preserve">, </w:t>
      </w:r>
      <w:r w:rsidR="000154CF" w:rsidRPr="00BE02F7">
        <w:rPr>
          <w:rFonts w:ascii="Californian FB" w:eastAsia="Times New Roman" w:hAnsi="Californian FB" w:cstheme="minorHAnsi"/>
          <w:sz w:val="24"/>
          <w:szCs w:val="24"/>
        </w:rPr>
        <w:t xml:space="preserve">and if the fair use doctrine is interpreted narrowly, </w:t>
      </w:r>
      <w:r w:rsidR="006D7FE5" w:rsidRPr="00BE02F7">
        <w:rPr>
          <w:rFonts w:ascii="Californian FB" w:eastAsia="Times New Roman" w:hAnsi="Californian FB" w:cstheme="minorHAnsi"/>
          <w:sz w:val="24"/>
          <w:szCs w:val="24"/>
        </w:rPr>
        <w:t>those companies</w:t>
      </w:r>
      <w:r w:rsidR="008E3B58" w:rsidRPr="00BE02F7">
        <w:rPr>
          <w:rFonts w:ascii="Californian FB" w:eastAsia="Times New Roman" w:hAnsi="Californian FB" w:cstheme="minorHAnsi"/>
          <w:sz w:val="24"/>
          <w:szCs w:val="24"/>
        </w:rPr>
        <w:t xml:space="preserve"> will succeed in many of their attempts.  </w:t>
      </w:r>
      <w:r w:rsidR="005C7CA5">
        <w:rPr>
          <w:rFonts w:ascii="Californian FB" w:eastAsia="Times New Roman" w:hAnsi="Californian FB" w:cstheme="minorHAnsi"/>
          <w:sz w:val="24"/>
          <w:szCs w:val="24"/>
        </w:rPr>
        <w:t xml:space="preserve">For some commentators, that is not what copyright should do. </w:t>
      </w:r>
      <w:r w:rsidR="005C7CA5" w:rsidRPr="005C7CA5">
        <w:rPr>
          <w:rFonts w:ascii="Californian FB" w:eastAsia="Times New Roman" w:hAnsi="Californian FB" w:cstheme="minorHAnsi"/>
          <w:sz w:val="24"/>
          <w:szCs w:val="24"/>
        </w:rPr>
        <w:t xml:space="preserve">Martin </w:t>
      </w:r>
      <w:proofErr w:type="spellStart"/>
      <w:r w:rsidR="005C7CA5" w:rsidRPr="005C7CA5">
        <w:rPr>
          <w:rFonts w:ascii="Californian FB" w:eastAsia="Times New Roman" w:hAnsi="Californian FB" w:cstheme="minorHAnsi"/>
          <w:sz w:val="24"/>
          <w:szCs w:val="24"/>
        </w:rPr>
        <w:t>Skladany</w:t>
      </w:r>
      <w:proofErr w:type="spellEnd"/>
      <w:r w:rsidR="005C7CA5">
        <w:rPr>
          <w:rFonts w:ascii="Californian FB" w:eastAsia="Times New Roman" w:hAnsi="Californian FB" w:cstheme="minorHAnsi"/>
          <w:sz w:val="24"/>
          <w:szCs w:val="24"/>
        </w:rPr>
        <w:t xml:space="preserve">, for example, argues that </w:t>
      </w:r>
      <w:r w:rsidR="005C7CA5" w:rsidRPr="005C7CA5">
        <w:rPr>
          <w:rFonts w:ascii="Californian FB" w:eastAsia="Times New Roman" w:hAnsi="Californian FB" w:cstheme="minorHAnsi"/>
          <w:sz w:val="24"/>
          <w:szCs w:val="24"/>
        </w:rPr>
        <w:lastRenderedPageBreak/>
        <w:t>copyright law should “</w:t>
      </w:r>
      <w:proofErr w:type="spellStart"/>
      <w:r w:rsidR="005C7CA5" w:rsidRPr="005C7CA5">
        <w:rPr>
          <w:rFonts w:ascii="Californian FB" w:eastAsia="Times New Roman" w:hAnsi="Californian FB" w:cstheme="minorHAnsi"/>
          <w:sz w:val="24"/>
          <w:szCs w:val="24"/>
        </w:rPr>
        <w:t>maximiz</w:t>
      </w:r>
      <w:proofErr w:type="spellEnd"/>
      <w:r w:rsidR="005C7CA5">
        <w:rPr>
          <w:rFonts w:ascii="Californian FB" w:eastAsia="Times New Roman" w:hAnsi="Californian FB" w:cstheme="minorHAnsi"/>
          <w:sz w:val="24"/>
          <w:szCs w:val="24"/>
        </w:rPr>
        <w:t>[e]</w:t>
      </w:r>
      <w:r w:rsidR="005C7CA5" w:rsidRPr="005C7CA5">
        <w:rPr>
          <w:rFonts w:ascii="Californian FB" w:eastAsia="Times New Roman" w:hAnsi="Californian FB" w:cstheme="minorHAnsi"/>
          <w:sz w:val="24"/>
          <w:szCs w:val="24"/>
        </w:rPr>
        <w:t xml:space="preserve"> the number of authors, rather than the number of works created, by encouraging citizens to consume less and create more.”</w:t>
      </w:r>
      <w:r w:rsidR="005C7CA5">
        <w:rPr>
          <w:rFonts w:ascii="Californian FB" w:eastAsia="Times New Roman" w:hAnsi="Californian FB" w:cstheme="minorHAnsi"/>
          <w:sz w:val="24"/>
          <w:szCs w:val="24"/>
        </w:rPr>
        <w:t xml:space="preserve"> </w:t>
      </w:r>
      <w:r w:rsidR="005C7CA5" w:rsidRPr="005C7CA5">
        <w:rPr>
          <w:rFonts w:ascii="Californian FB" w:eastAsia="Times New Roman" w:hAnsi="Californian FB" w:cstheme="minorHAnsi"/>
          <w:sz w:val="24"/>
          <w:szCs w:val="24"/>
        </w:rPr>
        <w:t xml:space="preserve">Martin </w:t>
      </w:r>
      <w:proofErr w:type="spellStart"/>
      <w:r w:rsidR="005C7CA5" w:rsidRPr="005C7CA5">
        <w:rPr>
          <w:rFonts w:ascii="Californian FB" w:eastAsia="Times New Roman" w:hAnsi="Californian FB" w:cstheme="minorHAnsi"/>
          <w:sz w:val="24"/>
          <w:szCs w:val="24"/>
        </w:rPr>
        <w:t>Skladany</w:t>
      </w:r>
      <w:proofErr w:type="spellEnd"/>
      <w:r w:rsidR="005C7CA5">
        <w:rPr>
          <w:rFonts w:ascii="Californian FB" w:eastAsia="Times New Roman" w:hAnsi="Californian FB" w:cstheme="minorHAnsi"/>
          <w:sz w:val="24"/>
          <w:szCs w:val="24"/>
        </w:rPr>
        <w:t xml:space="preserve">, Copyright Versus </w:t>
      </w:r>
      <w:proofErr w:type="gramStart"/>
      <w:r w:rsidR="005C7CA5">
        <w:rPr>
          <w:rFonts w:ascii="Californian FB" w:eastAsia="Times New Roman" w:hAnsi="Californian FB" w:cstheme="minorHAnsi"/>
          <w:sz w:val="24"/>
          <w:szCs w:val="24"/>
        </w:rPr>
        <w:t>The</w:t>
      </w:r>
      <w:proofErr w:type="gramEnd"/>
      <w:r w:rsidR="005C7CA5">
        <w:rPr>
          <w:rFonts w:ascii="Californian FB" w:eastAsia="Times New Roman" w:hAnsi="Californian FB" w:cstheme="minorHAnsi"/>
          <w:sz w:val="24"/>
          <w:szCs w:val="24"/>
        </w:rPr>
        <w:t xml:space="preserve"> People: How Major Content Providers Are </w:t>
      </w:r>
      <w:proofErr w:type="spellStart"/>
      <w:r w:rsidR="005C7CA5">
        <w:rPr>
          <w:rFonts w:ascii="Californian FB" w:eastAsia="Times New Roman" w:hAnsi="Californian FB" w:cstheme="minorHAnsi"/>
          <w:sz w:val="24"/>
          <w:szCs w:val="24"/>
        </w:rPr>
        <w:t>Destoying</w:t>
      </w:r>
      <w:proofErr w:type="spellEnd"/>
      <w:r w:rsidR="005C7CA5">
        <w:rPr>
          <w:rFonts w:ascii="Californian FB" w:eastAsia="Times New Roman" w:hAnsi="Californian FB" w:cstheme="minorHAnsi"/>
          <w:sz w:val="24"/>
          <w:szCs w:val="24"/>
        </w:rPr>
        <w:t xml:space="preserve"> Creativity And How to Stop Them 116 </w:t>
      </w:r>
      <w:r w:rsidR="005C7CA5" w:rsidRPr="005C7CA5">
        <w:rPr>
          <w:rFonts w:ascii="Californian FB" w:eastAsia="Times New Roman" w:hAnsi="Californian FB" w:cstheme="minorHAnsi"/>
          <w:sz w:val="24"/>
          <w:szCs w:val="24"/>
        </w:rPr>
        <w:t>(2018)</w:t>
      </w:r>
      <w:r w:rsidR="005C7CA5">
        <w:rPr>
          <w:rFonts w:ascii="Californian FB" w:eastAsia="Times New Roman" w:hAnsi="Californian FB" w:cstheme="minorHAnsi"/>
          <w:sz w:val="24"/>
          <w:szCs w:val="24"/>
        </w:rPr>
        <w:t>.</w:t>
      </w:r>
      <w:r w:rsidR="009D3C36">
        <w:rPr>
          <w:rFonts w:ascii="Californian FB" w:eastAsia="Times New Roman" w:hAnsi="Californian FB" w:cstheme="minorHAnsi"/>
          <w:sz w:val="24"/>
          <w:szCs w:val="24"/>
        </w:rPr>
        <w:t xml:space="preserve">  </w:t>
      </w:r>
    </w:p>
    <w:p w14:paraId="4EB22FA3" w14:textId="50020684" w:rsidR="008E3B58" w:rsidRPr="00BE02F7" w:rsidRDefault="008E3B58" w:rsidP="005C7CA5">
      <w:pPr>
        <w:shd w:val="clear" w:color="auto" w:fill="FFFFFF"/>
        <w:ind w:firstLine="720"/>
        <w:jc w:val="both"/>
        <w:rPr>
          <w:rFonts w:ascii="Californian FB" w:eastAsia="Times New Roman" w:hAnsi="Californian FB" w:cstheme="minorHAnsi"/>
          <w:sz w:val="24"/>
          <w:szCs w:val="24"/>
        </w:rPr>
      </w:pPr>
      <w:r w:rsidRPr="00BE02F7">
        <w:rPr>
          <w:rFonts w:ascii="Californian FB" w:eastAsia="Times New Roman" w:hAnsi="Californian FB" w:cstheme="minorHAnsi"/>
          <w:sz w:val="24"/>
          <w:szCs w:val="24"/>
        </w:rPr>
        <w:t xml:space="preserve">Conversely, </w:t>
      </w:r>
      <w:r w:rsidR="00E61818" w:rsidRPr="00BE02F7">
        <w:rPr>
          <w:rFonts w:ascii="Californian FB" w:eastAsia="Times New Roman" w:hAnsi="Californian FB" w:cstheme="minorHAnsi"/>
          <w:sz w:val="24"/>
          <w:szCs w:val="24"/>
        </w:rPr>
        <w:t xml:space="preserve">copyright licensing </w:t>
      </w:r>
      <w:r w:rsidRPr="00BE02F7">
        <w:rPr>
          <w:rFonts w:ascii="Californian FB" w:eastAsia="Times New Roman" w:hAnsi="Californian FB" w:cstheme="minorHAnsi"/>
          <w:sz w:val="24"/>
          <w:szCs w:val="24"/>
        </w:rPr>
        <w:t xml:space="preserve">can be used to facilitate </w:t>
      </w:r>
      <w:r w:rsidR="00E61818" w:rsidRPr="00BE02F7">
        <w:rPr>
          <w:rFonts w:ascii="Californian FB" w:eastAsia="Times New Roman" w:hAnsi="Californian FB" w:cstheme="minorHAnsi"/>
          <w:sz w:val="24"/>
          <w:szCs w:val="24"/>
        </w:rPr>
        <w:t xml:space="preserve">and organize </w:t>
      </w:r>
      <w:r w:rsidRPr="00BE02F7">
        <w:rPr>
          <w:rFonts w:ascii="Californian FB" w:eastAsia="Times New Roman" w:hAnsi="Californian FB" w:cstheme="minorHAnsi"/>
          <w:sz w:val="24"/>
          <w:szCs w:val="24"/>
        </w:rPr>
        <w:t>collaboration and sharing</w:t>
      </w:r>
      <w:r w:rsidR="00E61818" w:rsidRPr="00BE02F7">
        <w:rPr>
          <w:rFonts w:ascii="Californian FB" w:eastAsia="Times New Roman" w:hAnsi="Californian FB" w:cstheme="minorHAnsi"/>
          <w:sz w:val="24"/>
          <w:szCs w:val="24"/>
        </w:rPr>
        <w:t>,</w:t>
      </w:r>
      <w:r w:rsidRPr="00BE02F7">
        <w:rPr>
          <w:rFonts w:ascii="Californian FB" w:eastAsia="Times New Roman" w:hAnsi="Californian FB" w:cstheme="minorHAnsi"/>
          <w:sz w:val="24"/>
          <w:szCs w:val="24"/>
        </w:rPr>
        <w:t xml:space="preserve"> and to stop some efforts to </w:t>
      </w:r>
      <w:proofErr w:type="spellStart"/>
      <w:r w:rsidRPr="00BE02F7">
        <w:rPr>
          <w:rFonts w:ascii="Californian FB" w:eastAsia="Times New Roman" w:hAnsi="Californian FB" w:cstheme="minorHAnsi"/>
          <w:sz w:val="24"/>
          <w:szCs w:val="24"/>
        </w:rPr>
        <w:t>propertize</w:t>
      </w:r>
      <w:proofErr w:type="spellEnd"/>
      <w:r w:rsidRPr="00BE02F7">
        <w:rPr>
          <w:rFonts w:ascii="Californian FB" w:eastAsia="Times New Roman" w:hAnsi="Californian FB" w:cstheme="minorHAnsi"/>
          <w:sz w:val="24"/>
          <w:szCs w:val="24"/>
        </w:rPr>
        <w:t xml:space="preserve"> cultural creation. For example, Creative Commons, a nonprofit organization founded in 2001, has created many varieties of copyright licenses that enable easy sharing of content</w:t>
      </w:r>
      <w:r w:rsidR="00E01346">
        <w:rPr>
          <w:rFonts w:ascii="Californian FB" w:eastAsia="Times New Roman" w:hAnsi="Californian FB" w:cstheme="minorHAnsi"/>
          <w:sz w:val="24"/>
          <w:szCs w:val="24"/>
        </w:rPr>
        <w:t>. A</w:t>
      </w:r>
      <w:r w:rsidRPr="00BE02F7">
        <w:rPr>
          <w:rFonts w:ascii="Californian FB" w:eastAsia="Times New Roman" w:hAnsi="Californian FB" w:cstheme="minorHAnsi"/>
          <w:sz w:val="24"/>
          <w:szCs w:val="24"/>
        </w:rPr>
        <w:t>s of January 2016, there were an estimated 1.1 billion works licensed under Creative Commons licenses.  Open</w:t>
      </w:r>
      <w:r w:rsidR="006D7FE5" w:rsidRPr="00BE02F7">
        <w:rPr>
          <w:rFonts w:ascii="Californian FB" w:eastAsia="Times New Roman" w:hAnsi="Californian FB" w:cstheme="minorHAnsi"/>
          <w:sz w:val="24"/>
          <w:szCs w:val="24"/>
        </w:rPr>
        <w:t>-</w:t>
      </w:r>
      <w:r w:rsidRPr="00BE02F7">
        <w:rPr>
          <w:rFonts w:ascii="Californian FB" w:eastAsia="Times New Roman" w:hAnsi="Californian FB" w:cstheme="minorHAnsi"/>
          <w:sz w:val="24"/>
          <w:szCs w:val="24"/>
        </w:rPr>
        <w:t>source licenses of various kinds can facilitate the development of collaboratively</w:t>
      </w:r>
      <w:r w:rsidR="006212B7" w:rsidRPr="00BE02F7">
        <w:rPr>
          <w:rFonts w:ascii="Californian FB" w:eastAsia="Times New Roman" w:hAnsi="Californian FB" w:cstheme="minorHAnsi"/>
          <w:sz w:val="24"/>
          <w:szCs w:val="24"/>
        </w:rPr>
        <w:t xml:space="preserve"> </w:t>
      </w:r>
      <w:r w:rsidRPr="00BE02F7">
        <w:rPr>
          <w:rFonts w:ascii="Californian FB" w:eastAsia="Times New Roman" w:hAnsi="Californian FB" w:cstheme="minorHAnsi"/>
          <w:sz w:val="24"/>
          <w:szCs w:val="24"/>
        </w:rPr>
        <w:t xml:space="preserve">created software by setting the conditions under which an addition to or alteration of a </w:t>
      </w:r>
      <w:r w:rsidR="001F15FC" w:rsidRPr="00BE02F7">
        <w:rPr>
          <w:rFonts w:ascii="Californian FB" w:eastAsia="Times New Roman" w:hAnsi="Californian FB" w:cstheme="minorHAnsi"/>
          <w:sz w:val="24"/>
          <w:szCs w:val="24"/>
        </w:rPr>
        <w:t>release of collaboratively</w:t>
      </w:r>
      <w:r w:rsidR="006212B7" w:rsidRPr="00BE02F7">
        <w:rPr>
          <w:rFonts w:ascii="Californian FB" w:eastAsia="Times New Roman" w:hAnsi="Californian FB" w:cstheme="minorHAnsi"/>
          <w:sz w:val="24"/>
          <w:szCs w:val="24"/>
        </w:rPr>
        <w:t xml:space="preserve"> </w:t>
      </w:r>
      <w:r w:rsidR="001F15FC" w:rsidRPr="00BE02F7">
        <w:rPr>
          <w:rFonts w:ascii="Californian FB" w:eastAsia="Times New Roman" w:hAnsi="Californian FB" w:cstheme="minorHAnsi"/>
          <w:sz w:val="24"/>
          <w:szCs w:val="24"/>
        </w:rPr>
        <w:t xml:space="preserve">created </w:t>
      </w:r>
      <w:r w:rsidRPr="00BE02F7">
        <w:rPr>
          <w:rFonts w:ascii="Californian FB" w:eastAsia="Times New Roman" w:hAnsi="Californian FB" w:cstheme="minorHAnsi"/>
          <w:sz w:val="24"/>
          <w:szCs w:val="24"/>
        </w:rPr>
        <w:t>software</w:t>
      </w:r>
      <w:r w:rsidR="001F15FC" w:rsidRPr="00BE02F7">
        <w:rPr>
          <w:rFonts w:ascii="Californian FB" w:eastAsia="Times New Roman" w:hAnsi="Californian FB" w:cstheme="minorHAnsi"/>
          <w:sz w:val="24"/>
          <w:szCs w:val="24"/>
        </w:rPr>
        <w:t xml:space="preserve"> </w:t>
      </w:r>
      <w:r w:rsidRPr="00BE02F7">
        <w:rPr>
          <w:rFonts w:ascii="Californian FB" w:eastAsia="Times New Roman" w:hAnsi="Californian FB" w:cstheme="minorHAnsi"/>
          <w:sz w:val="24"/>
          <w:szCs w:val="24"/>
        </w:rPr>
        <w:t xml:space="preserve">will become </w:t>
      </w:r>
      <w:r w:rsidR="001F15FC" w:rsidRPr="00BE02F7">
        <w:rPr>
          <w:rFonts w:ascii="Californian FB" w:eastAsia="Times New Roman" w:hAnsi="Californian FB" w:cstheme="minorHAnsi"/>
          <w:sz w:val="24"/>
          <w:szCs w:val="24"/>
        </w:rPr>
        <w:t xml:space="preserve">incorporated into the next official release.  And so-called “viral,” “recursive,” or “copyleft” licenses </w:t>
      </w:r>
      <w:r w:rsidR="006212B7" w:rsidRPr="00BE02F7">
        <w:rPr>
          <w:rFonts w:ascii="Californian FB" w:eastAsia="Times New Roman" w:hAnsi="Californian FB" w:cstheme="minorHAnsi"/>
          <w:sz w:val="24"/>
          <w:szCs w:val="24"/>
        </w:rPr>
        <w:t xml:space="preserve">typically </w:t>
      </w:r>
      <w:r w:rsidR="001F15FC" w:rsidRPr="00BE02F7">
        <w:rPr>
          <w:rFonts w:ascii="Californian FB" w:eastAsia="Times New Roman" w:hAnsi="Californian FB" w:cstheme="minorHAnsi"/>
          <w:sz w:val="24"/>
          <w:szCs w:val="24"/>
        </w:rPr>
        <w:t>require those who add to or alter software to make their additions and alterations available to the public on the same terms that the software was previously licensed</w:t>
      </w:r>
      <w:r w:rsidR="00AE661B" w:rsidRPr="00BE02F7">
        <w:rPr>
          <w:rFonts w:ascii="Californian FB" w:eastAsia="Times New Roman" w:hAnsi="Californian FB" w:cstheme="minorHAnsi"/>
          <w:sz w:val="24"/>
          <w:szCs w:val="24"/>
        </w:rPr>
        <w:t xml:space="preserve"> – a requirement that could not be enforced if the software were merely dedicated to the public domain</w:t>
      </w:r>
      <w:r w:rsidR="001F15FC" w:rsidRPr="00BE02F7">
        <w:rPr>
          <w:rFonts w:ascii="Californian FB" w:eastAsia="Times New Roman" w:hAnsi="Californian FB" w:cstheme="minorHAnsi"/>
          <w:sz w:val="24"/>
          <w:szCs w:val="24"/>
        </w:rPr>
        <w:t>.</w:t>
      </w:r>
    </w:p>
    <w:p w14:paraId="24DA4F44" w14:textId="6B95EEAC" w:rsidR="001F15FC" w:rsidRDefault="001F15FC" w:rsidP="00ED6BE0">
      <w:pPr>
        <w:shd w:val="clear" w:color="auto" w:fill="FFFFFF"/>
        <w:jc w:val="both"/>
        <w:rPr>
          <w:rFonts w:ascii="Californian FB" w:eastAsia="Times New Roman" w:hAnsi="Californian FB" w:cstheme="minorHAnsi"/>
          <w:sz w:val="24"/>
          <w:szCs w:val="24"/>
        </w:rPr>
      </w:pPr>
      <w:r w:rsidRPr="00BE02F7">
        <w:rPr>
          <w:rFonts w:ascii="Californian FB" w:eastAsia="Times New Roman" w:hAnsi="Californian FB" w:cstheme="minorHAnsi"/>
          <w:sz w:val="24"/>
          <w:szCs w:val="24"/>
        </w:rPr>
        <w:tab/>
        <w:t xml:space="preserve">It is clear that copyright law </w:t>
      </w:r>
      <w:r w:rsidR="00335774">
        <w:rPr>
          <w:rFonts w:ascii="Californian FB" w:eastAsia="Times New Roman" w:hAnsi="Californian FB" w:cstheme="minorHAnsi"/>
          <w:sz w:val="24"/>
          <w:szCs w:val="24"/>
        </w:rPr>
        <w:t xml:space="preserve">has the potential to </w:t>
      </w:r>
      <w:r w:rsidR="00677493" w:rsidRPr="00BE02F7">
        <w:rPr>
          <w:rFonts w:ascii="Californian FB" w:eastAsia="Times New Roman" w:hAnsi="Californian FB" w:cstheme="minorHAnsi"/>
          <w:sz w:val="24"/>
          <w:szCs w:val="24"/>
        </w:rPr>
        <w:t>influence</w:t>
      </w:r>
      <w:r w:rsidRPr="00BE02F7">
        <w:rPr>
          <w:rFonts w:ascii="Californian FB" w:eastAsia="Times New Roman" w:hAnsi="Californian FB" w:cstheme="minorHAnsi"/>
          <w:sz w:val="24"/>
          <w:szCs w:val="24"/>
        </w:rPr>
        <w:t xml:space="preserve"> the mix of culture that is produced by professionals or by amateurs; that is produced for economic gain or for other reasons; and </w:t>
      </w:r>
      <w:r w:rsidR="00540D5F" w:rsidRPr="00BE02F7">
        <w:rPr>
          <w:rFonts w:ascii="Californian FB" w:eastAsia="Times New Roman" w:hAnsi="Californian FB" w:cstheme="minorHAnsi"/>
          <w:sz w:val="24"/>
          <w:szCs w:val="24"/>
        </w:rPr>
        <w:t>t</w:t>
      </w:r>
      <w:r w:rsidR="000879AF">
        <w:rPr>
          <w:rFonts w:ascii="Californian FB" w:eastAsia="Times New Roman" w:hAnsi="Californian FB" w:cstheme="minorHAnsi"/>
          <w:sz w:val="24"/>
          <w:szCs w:val="24"/>
        </w:rPr>
        <w:t>o mediate</w:t>
      </w:r>
      <w:r w:rsidR="00677493" w:rsidRPr="00BE02F7">
        <w:rPr>
          <w:rFonts w:ascii="Californian FB" w:eastAsia="Times New Roman" w:hAnsi="Californian FB" w:cstheme="minorHAnsi"/>
          <w:sz w:val="24"/>
          <w:szCs w:val="24"/>
        </w:rPr>
        <w:t xml:space="preserve"> the relationship between</w:t>
      </w:r>
      <w:r w:rsidR="00540D5F" w:rsidRPr="00BE02F7">
        <w:rPr>
          <w:rFonts w:ascii="Californian FB" w:eastAsia="Times New Roman" w:hAnsi="Californian FB" w:cstheme="minorHAnsi"/>
          <w:sz w:val="24"/>
          <w:szCs w:val="24"/>
        </w:rPr>
        <w:t xml:space="preserve"> </w:t>
      </w:r>
      <w:r w:rsidRPr="00BE02F7">
        <w:rPr>
          <w:rFonts w:ascii="Californian FB" w:eastAsia="Times New Roman" w:hAnsi="Californian FB" w:cstheme="minorHAnsi"/>
          <w:sz w:val="24"/>
          <w:szCs w:val="24"/>
        </w:rPr>
        <w:t xml:space="preserve">creator and audience.  It is not clear what the optimal mix is, or whether copyright law can be neutral as to different mixes.  Those are questions that </w:t>
      </w:r>
      <w:r w:rsidR="00924DA2" w:rsidRPr="00BE02F7">
        <w:rPr>
          <w:rFonts w:ascii="Californian FB" w:eastAsia="Times New Roman" w:hAnsi="Californian FB" w:cstheme="minorHAnsi"/>
          <w:sz w:val="24"/>
          <w:szCs w:val="24"/>
        </w:rPr>
        <w:t xml:space="preserve">we should all continue to </w:t>
      </w:r>
      <w:r w:rsidR="004772CC" w:rsidRPr="00BE02F7">
        <w:rPr>
          <w:rFonts w:ascii="Californian FB" w:eastAsia="Times New Roman" w:hAnsi="Californian FB" w:cstheme="minorHAnsi"/>
          <w:sz w:val="24"/>
          <w:szCs w:val="24"/>
        </w:rPr>
        <w:t>consider.</w:t>
      </w:r>
      <w:r w:rsidR="00AE661B" w:rsidRPr="00BE02F7">
        <w:rPr>
          <w:rFonts w:ascii="Californian FB" w:eastAsia="Times New Roman" w:hAnsi="Californian FB" w:cstheme="minorHAnsi"/>
          <w:sz w:val="24"/>
          <w:szCs w:val="24"/>
        </w:rPr>
        <w:t xml:space="preserve">  (Special thanks to Prof. Laura </w:t>
      </w:r>
      <w:proofErr w:type="spellStart"/>
      <w:r w:rsidR="00AE661B" w:rsidRPr="00BE02F7">
        <w:rPr>
          <w:rFonts w:ascii="Californian FB" w:eastAsia="Times New Roman" w:hAnsi="Californian FB" w:cstheme="minorHAnsi"/>
          <w:sz w:val="24"/>
          <w:szCs w:val="24"/>
        </w:rPr>
        <w:t>Heymann</w:t>
      </w:r>
      <w:proofErr w:type="spellEnd"/>
      <w:r w:rsidR="00AE661B" w:rsidRPr="00BE02F7">
        <w:rPr>
          <w:rFonts w:ascii="Californian FB" w:eastAsia="Times New Roman" w:hAnsi="Californian FB" w:cstheme="minorHAnsi"/>
          <w:sz w:val="24"/>
          <w:szCs w:val="24"/>
        </w:rPr>
        <w:t xml:space="preserve"> for her contributions to this essay</w:t>
      </w:r>
      <w:r w:rsidR="00284B55">
        <w:rPr>
          <w:rFonts w:ascii="Californian FB" w:eastAsia="Times New Roman" w:hAnsi="Californian FB" w:cstheme="minorHAnsi"/>
          <w:sz w:val="24"/>
          <w:szCs w:val="24"/>
        </w:rPr>
        <w:t>; anything that is still wrong with it is ours</w:t>
      </w:r>
      <w:r w:rsidR="00AE661B" w:rsidRPr="00BE02F7">
        <w:rPr>
          <w:rFonts w:ascii="Californian FB" w:eastAsia="Times New Roman" w:hAnsi="Californian FB" w:cstheme="minorHAnsi"/>
          <w:sz w:val="24"/>
          <w:szCs w:val="24"/>
        </w:rPr>
        <w:t>.)</w:t>
      </w:r>
    </w:p>
    <w:p w14:paraId="3D63A245" w14:textId="7D877D46" w:rsidR="00420EAA" w:rsidRPr="00420EAA" w:rsidRDefault="00420EAA" w:rsidP="00ED6BE0">
      <w:pPr>
        <w:shd w:val="clear" w:color="auto" w:fill="FFFFFF"/>
        <w:rPr>
          <w:rFonts w:ascii="Californian FB" w:eastAsia="Times New Roman" w:hAnsi="Californian FB" w:cstheme="minorHAnsi"/>
          <w:b/>
          <w:sz w:val="28"/>
          <w:szCs w:val="28"/>
        </w:rPr>
      </w:pPr>
      <w:r w:rsidRPr="00420EAA">
        <w:rPr>
          <w:rFonts w:ascii="Californian FB" w:eastAsia="Times New Roman" w:hAnsi="Californian FB" w:cstheme="minorHAnsi"/>
          <w:b/>
          <w:sz w:val="28"/>
          <w:szCs w:val="28"/>
        </w:rPr>
        <w:t xml:space="preserve">Chapter 2: </w:t>
      </w:r>
      <w:r w:rsidRPr="00420EAA">
        <w:rPr>
          <w:rFonts w:ascii="Californian FB" w:eastAsia="Times New Roman" w:hAnsi="Californian FB" w:cstheme="minorHAnsi"/>
          <w:b/>
          <w:i/>
          <w:sz w:val="28"/>
          <w:szCs w:val="28"/>
        </w:rPr>
        <w:t>The Basic Hurdles of Copyright Protection</w:t>
      </w:r>
    </w:p>
    <w:p w14:paraId="3254F57A" w14:textId="4D1BCC1E" w:rsidR="00420EAA" w:rsidRDefault="00420EAA" w:rsidP="00ED6BE0">
      <w:pPr>
        <w:shd w:val="clear" w:color="auto" w:fill="FFFFFF"/>
        <w:rPr>
          <w:rFonts w:ascii="Californian FB" w:eastAsia="Times New Roman" w:hAnsi="Californian FB" w:cstheme="minorHAnsi"/>
          <w:b/>
          <w:sz w:val="28"/>
          <w:szCs w:val="28"/>
        </w:rPr>
      </w:pPr>
      <w:r w:rsidRPr="00420EAA">
        <w:rPr>
          <w:rFonts w:ascii="Californian FB" w:eastAsia="Times New Roman" w:hAnsi="Californian FB" w:cstheme="minorHAnsi"/>
          <w:b/>
          <w:sz w:val="28"/>
          <w:szCs w:val="28"/>
        </w:rPr>
        <w:t>B. Originality</w:t>
      </w:r>
    </w:p>
    <w:p w14:paraId="6D7EE880" w14:textId="77777777" w:rsidR="00432737" w:rsidRDefault="00420EAA" w:rsidP="00432737">
      <w:pPr>
        <w:shd w:val="clear" w:color="auto" w:fill="FFFFFF"/>
        <w:rPr>
          <w:rFonts w:ascii="Californian FB" w:eastAsia="Times New Roman" w:hAnsi="Californian FB" w:cstheme="minorHAnsi"/>
          <w:sz w:val="28"/>
          <w:szCs w:val="28"/>
        </w:rPr>
      </w:pPr>
      <w:r w:rsidRPr="00420EAA">
        <w:rPr>
          <w:rFonts w:ascii="Californian FB" w:eastAsia="Times New Roman" w:hAnsi="Californian FB" w:cstheme="minorHAnsi"/>
          <w:sz w:val="28"/>
          <w:szCs w:val="28"/>
        </w:rPr>
        <w:t>2. Originality and Derivative Works</w:t>
      </w:r>
      <w:r w:rsidR="00432737">
        <w:rPr>
          <w:rFonts w:ascii="Californian FB" w:eastAsia="Times New Roman" w:hAnsi="Californian FB" w:cstheme="minorHAnsi"/>
          <w:sz w:val="28"/>
          <w:szCs w:val="28"/>
        </w:rPr>
        <w:t xml:space="preserve"> </w:t>
      </w:r>
    </w:p>
    <w:p w14:paraId="0DFE954E" w14:textId="77777777" w:rsidR="00A9227A" w:rsidRDefault="00A9227A" w:rsidP="00A9227A">
      <w:pPr>
        <w:shd w:val="clear" w:color="auto" w:fill="FFFFFF"/>
        <w:rPr>
          <w:rFonts w:ascii="Californian FB" w:hAnsi="Californian FB"/>
          <w:szCs w:val="24"/>
        </w:rPr>
      </w:pPr>
      <w:r>
        <w:rPr>
          <w:rFonts w:ascii="Californian FB" w:hAnsi="Californian FB"/>
          <w:noProof/>
          <w:szCs w:val="24"/>
        </w:rPr>
        <mc:AlternateContent>
          <mc:Choice Requires="wps">
            <w:drawing>
              <wp:anchor distT="0" distB="0" distL="114300" distR="114300" simplePos="0" relativeHeight="251677696" behindDoc="1" locked="0" layoutInCell="1" allowOverlap="1" wp14:anchorId="711BD24C" wp14:editId="783BF95E">
                <wp:simplePos x="0" y="0"/>
                <wp:positionH relativeFrom="margin">
                  <wp:posOffset>3118485</wp:posOffset>
                </wp:positionH>
                <wp:positionV relativeFrom="paragraph">
                  <wp:posOffset>300673</wp:posOffset>
                </wp:positionV>
                <wp:extent cx="2798445" cy="2623820"/>
                <wp:effectExtent l="0" t="0" r="20955" b="24130"/>
                <wp:wrapTight wrapText="bothSides">
                  <wp:wrapPolygon edited="0">
                    <wp:start x="0" y="0"/>
                    <wp:lineTo x="0" y="21642"/>
                    <wp:lineTo x="21615" y="21642"/>
                    <wp:lineTo x="2161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798445" cy="2623820"/>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2754257" w14:textId="77777777" w:rsidR="00C747A6" w:rsidRPr="00AD1D2B" w:rsidRDefault="00C747A6" w:rsidP="00AD1D2B">
                            <w:pPr>
                              <w:jc w:val="center"/>
                              <w:rPr>
                                <w:rFonts w:ascii="Californian FB" w:hAnsi="Californian FB"/>
                                <w:b/>
                              </w:rPr>
                            </w:pPr>
                            <w:r w:rsidRPr="00AD1D2B">
                              <w:rPr>
                                <w:rFonts w:ascii="Californian FB" w:hAnsi="Californian FB"/>
                                <w:b/>
                              </w:rPr>
                              <w:t>FOOD FOR THOUGHT</w:t>
                            </w:r>
                          </w:p>
                          <w:p w14:paraId="5AF8426E" w14:textId="6CE1BF08" w:rsidR="00C747A6" w:rsidRPr="00AD1D2B" w:rsidRDefault="00C747A6" w:rsidP="0083263B">
                            <w:pPr>
                              <w:jc w:val="both"/>
                              <w:rPr>
                                <w:rFonts w:ascii="Californian FB" w:hAnsi="Californian FB"/>
                              </w:rPr>
                            </w:pPr>
                            <w:r>
                              <w:rPr>
                                <w:rFonts w:ascii="Californian FB" w:hAnsi="Californian FB"/>
                              </w:rPr>
                              <w:t xml:space="preserve">    The </w:t>
                            </w:r>
                            <w:r>
                              <w:rPr>
                                <w:rFonts w:ascii="Californian FB" w:hAnsi="Californian FB"/>
                                <w:i/>
                              </w:rPr>
                              <w:t xml:space="preserve">We Shall Overcome </w:t>
                            </w:r>
                            <w:r>
                              <w:rPr>
                                <w:rFonts w:ascii="Californian FB" w:hAnsi="Californian FB"/>
                              </w:rPr>
                              <w:t xml:space="preserve">opinion suggests that changes to a work that would be “standard fare” to “competent musicians” lack sufficient originality to sustain a derivative work copyright. Readers who are acquainted with the patent scheme may sense something familiar about this.  It resembles the rule that “obvious” improvements over the previous state of technology are not worthy of a patent.  </w:t>
                            </w:r>
                            <w:proofErr w:type="gramStart"/>
                            <w:r>
                              <w:rPr>
                                <w:rFonts w:ascii="Californian FB" w:hAnsi="Californian FB"/>
                              </w:rPr>
                              <w:t>However</w:t>
                            </w:r>
                            <w:proofErr w:type="gramEnd"/>
                            <w:r>
                              <w:rPr>
                                <w:rFonts w:ascii="Californian FB" w:hAnsi="Californian FB"/>
                              </w:rPr>
                              <w:t xml:space="preserve"> the patent system is based on a requirement of novelty rather than originality.  Do you think this court has conflated the two ideas?  If so, is that a good 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BD24C" id="_x0000_t202" coordsize="21600,21600" o:spt="202" path="m,l,21600r21600,l21600,xe">
                <v:stroke joinstyle="miter"/>
                <v:path gradientshapeok="t" o:connecttype="rect"/>
              </v:shapetype>
              <v:shape id="Text Box 3" o:spid="_x0000_s1026" type="#_x0000_t202" style="position:absolute;margin-left:245.55pt;margin-top:23.7pt;width:220.35pt;height:206.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" fillcolor="#bdd6ee [1300]" strokecolor="#bdd6ee [1300]" strokeweight=".5pt">
                <v:textbox>
                  <w:txbxContent>
                    <w:p w14:paraId="72754257" w14:textId="77777777" w:rsidR="00C747A6" w:rsidRPr="00AD1D2B" w:rsidRDefault="00C747A6" w:rsidP="00AD1D2B">
                      <w:pPr>
                        <w:jc w:val="center"/>
                        <w:rPr>
                          <w:rFonts w:ascii="Californian FB" w:hAnsi="Californian FB"/>
                          <w:b/>
                        </w:rPr>
                      </w:pPr>
                      <w:r w:rsidRPr="00AD1D2B">
                        <w:rPr>
                          <w:rFonts w:ascii="Californian FB" w:hAnsi="Californian FB"/>
                          <w:b/>
                        </w:rPr>
                        <w:t>FOOD FOR THOUGHT</w:t>
                      </w:r>
                    </w:p>
                    <w:p w14:paraId="5AF8426E" w14:textId="6CE1BF08" w:rsidR="00C747A6" w:rsidRPr="00AD1D2B" w:rsidRDefault="00C747A6" w:rsidP="0083263B">
                      <w:pPr>
                        <w:jc w:val="both"/>
                        <w:rPr>
                          <w:rFonts w:ascii="Californian FB" w:hAnsi="Californian FB"/>
                        </w:rPr>
                      </w:pPr>
                      <w:r>
                        <w:rPr>
                          <w:rFonts w:ascii="Californian FB" w:hAnsi="Californian FB"/>
                        </w:rPr>
                        <w:t xml:space="preserve">    The </w:t>
                      </w:r>
                      <w:r>
                        <w:rPr>
                          <w:rFonts w:ascii="Californian FB" w:hAnsi="Californian FB"/>
                          <w:i/>
                        </w:rPr>
                        <w:t xml:space="preserve">We Shall Overcome </w:t>
                      </w:r>
                      <w:r>
                        <w:rPr>
                          <w:rFonts w:ascii="Californian FB" w:hAnsi="Californian FB"/>
                        </w:rPr>
                        <w:t xml:space="preserve">opinion suggests that changes to a work that would be “standard fare” to “competent musicians” lack sufficient originality to sustain a derivative work copyright. Readers who are acquainted with the patent scheme may sense something familiar about this.  It resembles the rule that “obvious” improvements over the previous state of technology are not worthy of a patent.  </w:t>
                      </w:r>
                      <w:proofErr w:type="gramStart"/>
                      <w:r>
                        <w:rPr>
                          <w:rFonts w:ascii="Californian FB" w:hAnsi="Californian FB"/>
                        </w:rPr>
                        <w:t>However</w:t>
                      </w:r>
                      <w:proofErr w:type="gramEnd"/>
                      <w:r>
                        <w:rPr>
                          <w:rFonts w:ascii="Californian FB" w:hAnsi="Californian FB"/>
                        </w:rPr>
                        <w:t xml:space="preserve"> the patent system is based on a requirement of novelty rather than originality.  Do you think this court has conflated the two ideas?  If so, is that a good thing?  </w:t>
                      </w:r>
                    </w:p>
                  </w:txbxContent>
                </v:textbox>
                <w10:wrap type="tight" anchorx="margin"/>
              </v:shape>
            </w:pict>
          </mc:Fallback>
        </mc:AlternateContent>
      </w:r>
      <w:r w:rsidR="00432737">
        <w:rPr>
          <w:rFonts w:ascii="Californian FB" w:eastAsia="Times New Roman" w:hAnsi="Californian FB" w:cstheme="minorHAnsi"/>
          <w:sz w:val="28"/>
          <w:szCs w:val="28"/>
        </w:rPr>
        <w:t xml:space="preserve">page </w:t>
      </w:r>
      <w:r w:rsidR="00420EAA">
        <w:rPr>
          <w:rFonts w:ascii="Californian FB" w:hAnsi="Californian FB"/>
          <w:sz w:val="28"/>
          <w:szCs w:val="28"/>
        </w:rPr>
        <w:t>88 – Insert at the end of Note 9, above the “Language Tip” Box</w:t>
      </w:r>
      <w:r w:rsidR="00432737">
        <w:rPr>
          <w:rFonts w:ascii="Californian FB" w:hAnsi="Californian FB"/>
          <w:sz w:val="28"/>
          <w:szCs w:val="28"/>
        </w:rPr>
        <w:t xml:space="preserve"> </w:t>
      </w:r>
      <w:r w:rsidR="00420EAA">
        <w:rPr>
          <w:rFonts w:ascii="Californian FB" w:hAnsi="Californian FB"/>
          <w:szCs w:val="24"/>
        </w:rPr>
        <w:tab/>
      </w:r>
    </w:p>
    <w:p w14:paraId="447559D8" w14:textId="79911537" w:rsidR="00420EAA" w:rsidRPr="00A9227A" w:rsidRDefault="00420EAA" w:rsidP="00A9227A">
      <w:pPr>
        <w:shd w:val="clear" w:color="auto" w:fill="FFFFFF"/>
        <w:jc w:val="both"/>
        <w:rPr>
          <w:rFonts w:ascii="Californian FB" w:hAnsi="Californian FB"/>
          <w:szCs w:val="24"/>
        </w:rPr>
      </w:pPr>
      <w:r w:rsidRPr="00420EAA">
        <w:rPr>
          <w:rFonts w:ascii="Californian FB" w:hAnsi="Californian FB"/>
          <w:sz w:val="24"/>
          <w:szCs w:val="24"/>
        </w:rPr>
        <w:t xml:space="preserve">A recent example of the application of these principles in the area of musical works is </w:t>
      </w:r>
      <w:hyperlink r:id="rId11" w:history="1">
        <w:r w:rsidRPr="001862CB">
          <w:rPr>
            <w:rStyle w:val="Hyperlink"/>
            <w:rFonts w:ascii="Californian FB" w:hAnsi="Californian FB"/>
            <w:i/>
            <w:sz w:val="24"/>
            <w:szCs w:val="24"/>
          </w:rPr>
          <w:t>We Shall Overcome Foundation v. The Richmond Organization, Inc.,</w:t>
        </w:r>
        <w:r w:rsidRPr="001862CB">
          <w:rPr>
            <w:rStyle w:val="Hyperlink"/>
            <w:rFonts w:ascii="Californian FB" w:hAnsi="Californian FB"/>
            <w:sz w:val="24"/>
            <w:szCs w:val="24"/>
          </w:rPr>
          <w:t xml:space="preserve"> 2017 WL 3981311 (S.D.N.Y.)</w:t>
        </w:r>
      </w:hyperlink>
      <w:r w:rsidRPr="00420EAA">
        <w:rPr>
          <w:rFonts w:ascii="Californian FB" w:hAnsi="Californian FB"/>
          <w:sz w:val="24"/>
          <w:szCs w:val="24"/>
        </w:rPr>
        <w:t xml:space="preserve">.  The case involved the copyright status of the famed African-American spiritual and protest song </w:t>
      </w:r>
      <w:r w:rsidRPr="00420EAA">
        <w:rPr>
          <w:rFonts w:ascii="Californian FB" w:hAnsi="Californian FB"/>
          <w:i/>
          <w:sz w:val="24"/>
          <w:szCs w:val="24"/>
        </w:rPr>
        <w:t>We Shall Overcome</w:t>
      </w:r>
      <w:r w:rsidRPr="00420EAA">
        <w:rPr>
          <w:rFonts w:ascii="Californian FB" w:hAnsi="Californian FB"/>
          <w:sz w:val="24"/>
          <w:szCs w:val="24"/>
        </w:rPr>
        <w:t>.  Several precursors to the song exist in the public domain</w:t>
      </w:r>
      <w:r w:rsidR="000519BC">
        <w:rPr>
          <w:rFonts w:ascii="Californian FB" w:hAnsi="Californian FB"/>
          <w:sz w:val="24"/>
          <w:szCs w:val="24"/>
        </w:rPr>
        <w:t>,</w:t>
      </w:r>
      <w:r w:rsidRPr="00420EAA">
        <w:rPr>
          <w:rFonts w:ascii="Californian FB" w:hAnsi="Californian FB"/>
          <w:sz w:val="24"/>
          <w:szCs w:val="24"/>
        </w:rPr>
        <w:t xml:space="preserve"> including versions that date back more than a century.  In 1960 a company called Ludlow Music filed a copyright registration application for a purported derivative version of the song.   The application claimed changes in lyrics and melody (it also included 3 new verses for the song, which were </w:t>
      </w:r>
      <w:r w:rsidRPr="00420EAA">
        <w:rPr>
          <w:rFonts w:ascii="Californian FB" w:hAnsi="Californian FB"/>
          <w:sz w:val="24"/>
          <w:szCs w:val="24"/>
        </w:rPr>
        <w:lastRenderedPageBreak/>
        <w:t>not at issue in the lawsuit.).  The changes to the lyrics involved, changing the phrase “we will overcome” to “we shall overcome,” and changing the phrase “down in my heart” to “deep in my heart”.  The melodic changes involved some changes in two measures of the song, designed, in part, to make it easier to sing.  The court found these changes too trivial to support the originality necessary for a copyrightable derivative work.   As the court said, “</w:t>
      </w:r>
      <w:r w:rsidR="005E1037">
        <w:rPr>
          <w:rFonts w:ascii="Californian FB" w:hAnsi="Californian FB"/>
          <w:sz w:val="24"/>
          <w:szCs w:val="24"/>
        </w:rPr>
        <w:t>the changes of ‘</w:t>
      </w:r>
      <w:r w:rsidRPr="00420EAA">
        <w:rPr>
          <w:rFonts w:ascii="Californian FB" w:hAnsi="Californian FB"/>
          <w:sz w:val="24"/>
          <w:szCs w:val="24"/>
        </w:rPr>
        <w:t>will</w:t>
      </w:r>
      <w:r w:rsidR="005E1037">
        <w:rPr>
          <w:rFonts w:ascii="Californian FB" w:hAnsi="Californian FB"/>
          <w:sz w:val="24"/>
          <w:szCs w:val="24"/>
        </w:rPr>
        <w:t>’</w:t>
      </w:r>
      <w:r w:rsidRPr="00420EAA">
        <w:rPr>
          <w:rFonts w:ascii="Californian FB" w:hAnsi="Californian FB"/>
          <w:sz w:val="24"/>
          <w:szCs w:val="24"/>
        </w:rPr>
        <w:t xml:space="preserve"> to </w:t>
      </w:r>
      <w:r w:rsidR="005E1037">
        <w:rPr>
          <w:rFonts w:ascii="Californian FB" w:hAnsi="Californian FB"/>
          <w:sz w:val="24"/>
          <w:szCs w:val="24"/>
        </w:rPr>
        <w:t>‘</w:t>
      </w:r>
      <w:r w:rsidRPr="00420EAA">
        <w:rPr>
          <w:rFonts w:ascii="Californian FB" w:hAnsi="Californian FB"/>
          <w:sz w:val="24"/>
          <w:szCs w:val="24"/>
        </w:rPr>
        <w:t>shall</w:t>
      </w:r>
      <w:r w:rsidR="005E1037">
        <w:rPr>
          <w:rFonts w:ascii="Californian FB" w:hAnsi="Californian FB"/>
          <w:sz w:val="24"/>
          <w:szCs w:val="24"/>
        </w:rPr>
        <w:t>’</w:t>
      </w:r>
      <w:r w:rsidRPr="00420EAA">
        <w:rPr>
          <w:rFonts w:ascii="Californian FB" w:hAnsi="Californian FB"/>
          <w:sz w:val="24"/>
          <w:szCs w:val="24"/>
        </w:rPr>
        <w:t xml:space="preserve"> and </w:t>
      </w:r>
      <w:r w:rsidR="005E1037">
        <w:rPr>
          <w:rFonts w:ascii="Californian FB" w:hAnsi="Californian FB"/>
          <w:sz w:val="24"/>
          <w:szCs w:val="24"/>
        </w:rPr>
        <w:t>‘</w:t>
      </w:r>
      <w:r w:rsidRPr="00420EAA">
        <w:rPr>
          <w:rFonts w:ascii="Californian FB" w:hAnsi="Californian FB"/>
          <w:sz w:val="24"/>
          <w:szCs w:val="24"/>
        </w:rPr>
        <w:t>down</w:t>
      </w:r>
      <w:r w:rsidR="005E1037">
        <w:rPr>
          <w:rFonts w:ascii="Californian FB" w:hAnsi="Californian FB"/>
          <w:sz w:val="24"/>
          <w:szCs w:val="24"/>
        </w:rPr>
        <w:t>’</w:t>
      </w:r>
      <w:r w:rsidRPr="00420EAA">
        <w:rPr>
          <w:rFonts w:ascii="Californian FB" w:hAnsi="Californian FB"/>
          <w:sz w:val="24"/>
          <w:szCs w:val="24"/>
        </w:rPr>
        <w:t xml:space="preserve"> to </w:t>
      </w:r>
      <w:r w:rsidR="005E1037">
        <w:rPr>
          <w:rFonts w:ascii="Californian FB" w:hAnsi="Californian FB"/>
          <w:sz w:val="24"/>
          <w:szCs w:val="24"/>
        </w:rPr>
        <w:t>‘</w:t>
      </w:r>
      <w:r w:rsidRPr="00420EAA">
        <w:rPr>
          <w:rFonts w:ascii="Californian FB" w:hAnsi="Californian FB"/>
          <w:sz w:val="24"/>
          <w:szCs w:val="24"/>
        </w:rPr>
        <w:t>deep</w:t>
      </w:r>
      <w:r w:rsidR="005E1037">
        <w:rPr>
          <w:rFonts w:ascii="Californian FB" w:hAnsi="Californian FB"/>
          <w:sz w:val="24"/>
          <w:szCs w:val="24"/>
        </w:rPr>
        <w:t>’</w:t>
      </w:r>
      <w:r w:rsidRPr="00420EAA">
        <w:rPr>
          <w:rFonts w:ascii="Californian FB" w:hAnsi="Californian FB"/>
          <w:sz w:val="24"/>
          <w:szCs w:val="24"/>
        </w:rPr>
        <w:t xml:space="preserve"> and the melodic differences in the opening measures and the seventh measure, do not create a distinguishable variatio</w:t>
      </w:r>
      <w:r w:rsidR="005E1037">
        <w:rPr>
          <w:rFonts w:ascii="Californian FB" w:hAnsi="Californian FB"/>
          <w:sz w:val="24"/>
          <w:szCs w:val="24"/>
        </w:rPr>
        <w:t>n. These differences represent ‘</w:t>
      </w:r>
      <w:r w:rsidRPr="00420EAA">
        <w:rPr>
          <w:rFonts w:ascii="Californian FB" w:hAnsi="Californian FB"/>
          <w:sz w:val="24"/>
          <w:szCs w:val="24"/>
        </w:rPr>
        <w:t>variations of the piece that are standard fare in the music trade by any competent musician.</w:t>
      </w:r>
      <w:r w:rsidR="005E1037">
        <w:rPr>
          <w:rFonts w:ascii="Californian FB" w:hAnsi="Californian FB"/>
          <w:sz w:val="24"/>
          <w:szCs w:val="24"/>
        </w:rPr>
        <w:t>’</w:t>
      </w:r>
      <w:r w:rsidRPr="00420EAA">
        <w:rPr>
          <w:rFonts w:ascii="Californian FB" w:hAnsi="Californian FB"/>
          <w:sz w:val="24"/>
          <w:szCs w:val="24"/>
        </w:rPr>
        <w:t>” </w:t>
      </w:r>
      <w:r w:rsidR="005E1037">
        <w:rPr>
          <w:rFonts w:ascii="Californian FB" w:hAnsi="Californian FB"/>
          <w:sz w:val="24"/>
          <w:szCs w:val="24"/>
        </w:rPr>
        <w:t xml:space="preserve"> </w:t>
      </w:r>
      <w:r w:rsidRPr="00420EAA">
        <w:rPr>
          <w:rFonts w:ascii="Californian FB" w:hAnsi="Californian FB"/>
          <w:sz w:val="24"/>
          <w:szCs w:val="24"/>
        </w:rPr>
        <w:t xml:space="preserve">The copyright claimants argued that they sought protection for the song to prevent others from using it in inappropriate or disrespectful ways, but the court was unmoved, noting that the “gap in the proof of originality cannot be filled by good intentions.”  A few months after the decision the parties reached a settlement confirming the public domain status of the song.  For a short story from the </w:t>
      </w:r>
      <w:r w:rsidRPr="00420EAA">
        <w:rPr>
          <w:rFonts w:ascii="Californian FB" w:hAnsi="Californian FB"/>
          <w:i/>
          <w:sz w:val="24"/>
          <w:szCs w:val="24"/>
        </w:rPr>
        <w:t xml:space="preserve">New York Times </w:t>
      </w:r>
      <w:r w:rsidRPr="00420EAA">
        <w:rPr>
          <w:rFonts w:ascii="Californian FB" w:hAnsi="Californian FB"/>
          <w:sz w:val="24"/>
          <w:szCs w:val="24"/>
        </w:rPr>
        <w:t xml:space="preserve">describing the litigation, the settlement, and the economic significance of the song, you can </w:t>
      </w:r>
      <w:hyperlink r:id="rId12" w:history="1">
        <w:r w:rsidRPr="00420EAA">
          <w:rPr>
            <w:rStyle w:val="Hyperlink"/>
            <w:rFonts w:ascii="Californian FB" w:hAnsi="Californian FB"/>
            <w:sz w:val="24"/>
            <w:szCs w:val="24"/>
          </w:rPr>
          <w:t>click here</w:t>
        </w:r>
      </w:hyperlink>
      <w:r w:rsidRPr="00420EAA">
        <w:rPr>
          <w:rFonts w:ascii="Californian FB" w:hAnsi="Californian FB"/>
          <w:sz w:val="24"/>
          <w:szCs w:val="24"/>
        </w:rPr>
        <w:t xml:space="preserve">.  </w:t>
      </w:r>
    </w:p>
    <w:p w14:paraId="6504916D" w14:textId="3D00C806" w:rsidR="00420EAA" w:rsidRDefault="00A9227A" w:rsidP="00432737">
      <w:pPr>
        <w:jc w:val="both"/>
        <w:rPr>
          <w:rFonts w:ascii="Californian FB" w:hAnsi="Californian FB"/>
          <w:sz w:val="28"/>
          <w:szCs w:val="28"/>
        </w:rPr>
      </w:pPr>
      <w:r w:rsidRPr="001421A1">
        <w:rPr>
          <w:rFonts w:ascii="Californian FB" w:hAnsi="Californian FB"/>
          <w:noProof/>
          <w:sz w:val="28"/>
          <w:szCs w:val="28"/>
        </w:rPr>
        <w:drawing>
          <wp:anchor distT="0" distB="0" distL="114300" distR="114300" simplePos="0" relativeHeight="251661312" behindDoc="1" locked="0" layoutInCell="1" allowOverlap="1" wp14:anchorId="31E03900" wp14:editId="515B0A0C">
            <wp:simplePos x="0" y="0"/>
            <wp:positionH relativeFrom="margin">
              <wp:posOffset>1350645</wp:posOffset>
            </wp:positionH>
            <wp:positionV relativeFrom="paragraph">
              <wp:posOffset>109855</wp:posOffset>
            </wp:positionV>
            <wp:extent cx="3248660" cy="2047875"/>
            <wp:effectExtent l="0" t="0" r="8890" b="9525"/>
            <wp:wrapTight wrapText="bothSides">
              <wp:wrapPolygon edited="0">
                <wp:start x="0" y="0"/>
                <wp:lineTo x="0" y="21500"/>
                <wp:lineTo x="21532" y="21500"/>
                <wp:lineTo x="21532" y="0"/>
                <wp:lineTo x="0" y="0"/>
              </wp:wrapPolygon>
            </wp:wrapTight>
            <wp:docPr id="4" name="Picture 4" descr="http://mediad.publicbroadcasting.net/p/wmot/files/styles/medium/public/201710/We-Shall-Overc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d.publicbroadcasting.net/p/wmot/files/styles/medium/public/201710/We-Shall-Overcome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4866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BFA41" w14:textId="278F3C15" w:rsidR="00420EAA" w:rsidRDefault="00420EAA" w:rsidP="00ED6BE0">
      <w:pPr>
        <w:rPr>
          <w:rFonts w:ascii="Californian FB" w:hAnsi="Californian FB"/>
          <w:sz w:val="28"/>
          <w:szCs w:val="28"/>
        </w:rPr>
      </w:pPr>
    </w:p>
    <w:p w14:paraId="2CCC92E4" w14:textId="77777777" w:rsidR="00420EAA" w:rsidRDefault="00420EAA" w:rsidP="00ED6BE0">
      <w:pPr>
        <w:rPr>
          <w:rFonts w:ascii="Californian FB" w:hAnsi="Californian FB"/>
          <w:sz w:val="28"/>
          <w:szCs w:val="28"/>
        </w:rPr>
      </w:pPr>
    </w:p>
    <w:p w14:paraId="3F2BF14C" w14:textId="77777777" w:rsidR="00420EAA" w:rsidRDefault="00420EAA" w:rsidP="00ED6BE0">
      <w:pPr>
        <w:rPr>
          <w:rFonts w:ascii="Californian FB" w:hAnsi="Californian FB"/>
          <w:sz w:val="28"/>
          <w:szCs w:val="28"/>
        </w:rPr>
      </w:pPr>
    </w:p>
    <w:p w14:paraId="13D4BA7E" w14:textId="77777777" w:rsidR="00420EAA" w:rsidRDefault="00420EAA" w:rsidP="00ED6BE0">
      <w:pPr>
        <w:rPr>
          <w:rFonts w:ascii="Californian FB" w:hAnsi="Californian FB"/>
          <w:sz w:val="28"/>
          <w:szCs w:val="28"/>
        </w:rPr>
      </w:pPr>
    </w:p>
    <w:p w14:paraId="63032AFE" w14:textId="77777777" w:rsidR="00420EAA" w:rsidRDefault="00420EAA" w:rsidP="00ED6BE0">
      <w:pPr>
        <w:rPr>
          <w:rFonts w:ascii="Californian FB" w:hAnsi="Californian FB"/>
          <w:sz w:val="28"/>
          <w:szCs w:val="28"/>
        </w:rPr>
      </w:pPr>
    </w:p>
    <w:p w14:paraId="79C94CA7" w14:textId="77777777" w:rsidR="00420EAA" w:rsidRDefault="00420EAA" w:rsidP="00ED6BE0">
      <w:pPr>
        <w:rPr>
          <w:rFonts w:ascii="Californian FB" w:hAnsi="Californian FB"/>
          <w:sz w:val="28"/>
          <w:szCs w:val="28"/>
        </w:rPr>
      </w:pPr>
    </w:p>
    <w:p w14:paraId="487DB915" w14:textId="77777777" w:rsidR="004155AF" w:rsidRDefault="004155AF" w:rsidP="00ED6BE0">
      <w:pPr>
        <w:ind w:left="450" w:hanging="360"/>
        <w:rPr>
          <w:rFonts w:ascii="Californian FB" w:hAnsi="Californian FB"/>
          <w:b/>
          <w:sz w:val="28"/>
          <w:szCs w:val="28"/>
        </w:rPr>
      </w:pPr>
    </w:p>
    <w:p w14:paraId="3A8EA9FD" w14:textId="6A11D0A2" w:rsidR="00420EAA" w:rsidRDefault="00420EAA" w:rsidP="00ED6BE0">
      <w:pPr>
        <w:ind w:left="450" w:hanging="360"/>
        <w:rPr>
          <w:rFonts w:ascii="Californian FB" w:hAnsi="Californian FB"/>
          <w:b/>
          <w:sz w:val="28"/>
          <w:szCs w:val="28"/>
        </w:rPr>
      </w:pPr>
      <w:r w:rsidRPr="00420EAA">
        <w:rPr>
          <w:rFonts w:ascii="Californian FB" w:hAnsi="Californian FB"/>
          <w:b/>
          <w:sz w:val="28"/>
          <w:szCs w:val="28"/>
        </w:rPr>
        <w:t>C. “Work of Authorship” and the Enumerated Categories Thereof: Independent Limitations on Copyrightable Subject Matter?</w:t>
      </w:r>
    </w:p>
    <w:p w14:paraId="0AA6DEC1" w14:textId="4D636AE1" w:rsidR="00420EAA" w:rsidRDefault="00420EAA" w:rsidP="00ED6BE0">
      <w:pPr>
        <w:rPr>
          <w:rFonts w:ascii="Californian FB" w:hAnsi="Californian FB"/>
          <w:sz w:val="28"/>
          <w:szCs w:val="28"/>
        </w:rPr>
      </w:pPr>
      <w:r w:rsidRPr="0074181E">
        <w:rPr>
          <w:rFonts w:ascii="Californian FB" w:hAnsi="Californian FB"/>
          <w:sz w:val="28"/>
          <w:szCs w:val="28"/>
        </w:rPr>
        <w:t>p.</w:t>
      </w:r>
      <w:r>
        <w:rPr>
          <w:rFonts w:ascii="Californian FB" w:hAnsi="Californian FB"/>
          <w:sz w:val="28"/>
          <w:szCs w:val="28"/>
        </w:rPr>
        <w:t xml:space="preserve"> 10</w:t>
      </w:r>
      <w:r w:rsidR="0064291C">
        <w:rPr>
          <w:rFonts w:ascii="Californian FB" w:hAnsi="Californian FB"/>
          <w:sz w:val="28"/>
          <w:szCs w:val="28"/>
        </w:rPr>
        <w:t>5</w:t>
      </w:r>
      <w:r>
        <w:rPr>
          <w:rFonts w:ascii="Californian FB" w:hAnsi="Californian FB"/>
          <w:sz w:val="28"/>
          <w:szCs w:val="28"/>
        </w:rPr>
        <w:t xml:space="preserve"> – Insert the following in place of </w:t>
      </w:r>
      <w:r w:rsidR="0064291C">
        <w:rPr>
          <w:rFonts w:ascii="Californian FB" w:hAnsi="Californian FB"/>
          <w:sz w:val="28"/>
          <w:szCs w:val="28"/>
        </w:rPr>
        <w:t xml:space="preserve">Note </w:t>
      </w:r>
      <w:proofErr w:type="gramStart"/>
      <w:r w:rsidR="0064291C">
        <w:rPr>
          <w:rFonts w:ascii="Californian FB" w:hAnsi="Californian FB"/>
          <w:sz w:val="28"/>
          <w:szCs w:val="28"/>
        </w:rPr>
        <w:t xml:space="preserve">9 </w:t>
      </w:r>
      <w:r>
        <w:rPr>
          <w:rFonts w:ascii="Californian FB" w:hAnsi="Californian FB"/>
          <w:sz w:val="28"/>
          <w:szCs w:val="28"/>
        </w:rPr>
        <w:t>:</w:t>
      </w:r>
      <w:proofErr w:type="gramEnd"/>
    </w:p>
    <w:p w14:paraId="3BB3AA7F" w14:textId="458BADD7" w:rsidR="0064291C" w:rsidRDefault="0064291C" w:rsidP="005C313D">
      <w:pPr>
        <w:ind w:left="540" w:hanging="540"/>
        <w:jc w:val="both"/>
        <w:rPr>
          <w:rFonts w:ascii="Californian FB" w:hAnsi="Californian FB"/>
          <w:sz w:val="24"/>
          <w:szCs w:val="24"/>
        </w:rPr>
      </w:pPr>
      <w:r w:rsidRPr="003071D7">
        <w:rPr>
          <w:rFonts w:ascii="Californian FB" w:hAnsi="Californian FB"/>
          <w:b/>
          <w:bCs/>
          <w:sz w:val="24"/>
          <w:szCs w:val="24"/>
        </w:rPr>
        <w:t>9.</w:t>
      </w:r>
      <w:r w:rsidR="005C313D" w:rsidRPr="003071D7">
        <w:rPr>
          <w:rFonts w:ascii="Californian FB" w:hAnsi="Californian FB"/>
          <w:b/>
          <w:bCs/>
          <w:sz w:val="24"/>
          <w:szCs w:val="24"/>
        </w:rPr>
        <w:tab/>
        <w:t xml:space="preserve">Authorship: Humans Only, Animals and Machines Need Not Apply.  </w:t>
      </w:r>
      <w:r w:rsidR="005C313D">
        <w:rPr>
          <w:rFonts w:ascii="Californian FB" w:hAnsi="Californian FB"/>
          <w:sz w:val="24"/>
          <w:szCs w:val="24"/>
        </w:rPr>
        <w:t xml:space="preserve">Even if Ms. Garcia’s performance was not a “work” as that term is understood under copyright law, there is little doubt that she “authored” it.  It was her facial expressions, gestures, and body language that made the performance what it was (we would have included “her vocal intonation,” but that was edited out when her performance was dubbed).  What happens, however, when a claim of authorship is made on behalf of an animal, or a </w:t>
      </w:r>
      <w:r w:rsidR="00856D37">
        <w:rPr>
          <w:rFonts w:ascii="Californian FB" w:hAnsi="Californian FB"/>
          <w:sz w:val="24"/>
          <w:szCs w:val="24"/>
        </w:rPr>
        <w:t>computer</w:t>
      </w:r>
      <w:r w:rsidR="005C313D">
        <w:rPr>
          <w:rFonts w:ascii="Californian FB" w:hAnsi="Californian FB"/>
          <w:sz w:val="24"/>
          <w:szCs w:val="24"/>
        </w:rPr>
        <w:t xml:space="preserve">?  As of this writing, the Ninth Circuit </w:t>
      </w:r>
      <w:r w:rsidR="00856D37">
        <w:rPr>
          <w:rFonts w:ascii="Californian FB" w:hAnsi="Californian FB"/>
          <w:sz w:val="24"/>
          <w:szCs w:val="24"/>
        </w:rPr>
        <w:t xml:space="preserve">has </w:t>
      </w:r>
      <w:r w:rsidR="004E3A67">
        <w:rPr>
          <w:rFonts w:ascii="Californian FB" w:hAnsi="Californian FB"/>
          <w:sz w:val="24"/>
          <w:szCs w:val="24"/>
        </w:rPr>
        <w:t>held that animals have no standing to sue for infringement under the Copyright Act, and the Copyright</w:t>
      </w:r>
      <w:r w:rsidR="00856D37">
        <w:rPr>
          <w:rFonts w:ascii="Californian FB" w:hAnsi="Californian FB"/>
          <w:sz w:val="24"/>
          <w:szCs w:val="24"/>
        </w:rPr>
        <w:t xml:space="preserve"> Office has rejected a claim of authorship by a computer. Thus, under U.S. law as it stands, authors have to be human beings.</w:t>
      </w:r>
    </w:p>
    <w:p w14:paraId="7056CDAB" w14:textId="7EE009B4" w:rsidR="008A48E2" w:rsidRDefault="00856D37" w:rsidP="00856D37">
      <w:pPr>
        <w:ind w:left="540"/>
        <w:jc w:val="both"/>
        <w:rPr>
          <w:rFonts w:ascii="Californian FB" w:hAnsi="Californian FB"/>
          <w:sz w:val="24"/>
          <w:szCs w:val="24"/>
        </w:rPr>
      </w:pPr>
      <w:r>
        <w:rPr>
          <w:rFonts w:ascii="Californian FB" w:hAnsi="Californian FB"/>
          <w:sz w:val="24"/>
          <w:szCs w:val="24"/>
        </w:rPr>
        <w:lastRenderedPageBreak/>
        <w:t xml:space="preserve">The claim of animal authorship arose when a macaque monkey named Naruto pressed a camera’s shutter release button while he was standing in front of </w:t>
      </w:r>
      <w:r w:rsidR="00C267FB">
        <w:rPr>
          <w:rFonts w:ascii="Californian FB" w:hAnsi="Californian FB"/>
          <w:sz w:val="24"/>
          <w:szCs w:val="24"/>
        </w:rPr>
        <w:t>the lens, making a “monkey selfie.”</w:t>
      </w:r>
      <w:r>
        <w:rPr>
          <w:rFonts w:ascii="Californian FB" w:hAnsi="Californian FB"/>
          <w:sz w:val="24"/>
          <w:szCs w:val="24"/>
        </w:rPr>
        <w:t>.  Da</w:t>
      </w:r>
      <w:r w:rsidR="00797E1F">
        <w:rPr>
          <w:rFonts w:ascii="Californian FB" w:hAnsi="Californian FB"/>
          <w:sz w:val="24"/>
          <w:szCs w:val="24"/>
        </w:rPr>
        <w:t>vid Slater, a British photographer who owned the camera used to make the photos, and who put it in the location where Naruto pres</w:t>
      </w:r>
      <w:r w:rsidR="00587AAD">
        <w:rPr>
          <w:rFonts w:ascii="Californian FB" w:hAnsi="Californian FB"/>
          <w:sz w:val="24"/>
          <w:szCs w:val="24"/>
        </w:rPr>
        <w:t>sed the shutter button, had claimed ownership of copyright in the</w:t>
      </w:r>
      <w:r w:rsidR="00C267FB">
        <w:rPr>
          <w:rFonts w:ascii="Californian FB" w:hAnsi="Californian FB"/>
          <w:sz w:val="24"/>
          <w:szCs w:val="24"/>
        </w:rPr>
        <w:t xml:space="preserve"> </w:t>
      </w:r>
      <w:r w:rsidR="00587AAD">
        <w:rPr>
          <w:rFonts w:ascii="Californian FB" w:hAnsi="Californian FB"/>
          <w:sz w:val="24"/>
          <w:szCs w:val="24"/>
        </w:rPr>
        <w:t>monkey selfies</w:t>
      </w:r>
      <w:r w:rsidR="00C267FB">
        <w:rPr>
          <w:rFonts w:ascii="Californian FB" w:hAnsi="Californian FB"/>
          <w:sz w:val="24"/>
          <w:szCs w:val="24"/>
        </w:rPr>
        <w:t>.</w:t>
      </w:r>
      <w:r w:rsidR="00587AAD">
        <w:rPr>
          <w:rFonts w:ascii="Californian FB" w:hAnsi="Californian FB"/>
          <w:sz w:val="24"/>
          <w:szCs w:val="24"/>
        </w:rPr>
        <w:t xml:space="preserve">  The group People for the Ethical Treatment of Animals </w:t>
      </w:r>
      <w:r w:rsidR="00C267FB">
        <w:rPr>
          <w:rFonts w:ascii="Californian FB" w:hAnsi="Californian FB"/>
          <w:sz w:val="24"/>
          <w:szCs w:val="24"/>
        </w:rPr>
        <w:t xml:space="preserve">(“PETA”) </w:t>
      </w:r>
      <w:r w:rsidR="00B17C38">
        <w:rPr>
          <w:rFonts w:ascii="Californian FB" w:hAnsi="Californian FB"/>
          <w:sz w:val="24"/>
          <w:szCs w:val="24"/>
        </w:rPr>
        <w:t>sued Slater on behalf of Naruto.</w:t>
      </w:r>
      <w:r w:rsidR="00C267FB">
        <w:rPr>
          <w:rFonts w:ascii="Californian FB" w:hAnsi="Californian FB"/>
          <w:sz w:val="24"/>
          <w:szCs w:val="24"/>
        </w:rPr>
        <w:t xml:space="preserve"> I</w:t>
      </w:r>
      <w:r w:rsidR="00C267FB" w:rsidRPr="00C267FB">
        <w:rPr>
          <w:rFonts w:ascii="Californian FB" w:hAnsi="Californian FB"/>
          <w:sz w:val="24"/>
          <w:szCs w:val="24"/>
        </w:rPr>
        <w:t xml:space="preserve">n </w:t>
      </w:r>
      <w:r w:rsidR="00C267FB" w:rsidRPr="003071D7">
        <w:rPr>
          <w:rFonts w:ascii="Californian FB" w:hAnsi="Californian FB"/>
          <w:i/>
          <w:iCs/>
          <w:sz w:val="24"/>
          <w:szCs w:val="24"/>
        </w:rPr>
        <w:t>Naruto v. Slater</w:t>
      </w:r>
      <w:r w:rsidR="00C267FB" w:rsidRPr="00C267FB">
        <w:rPr>
          <w:rFonts w:ascii="Californian FB" w:hAnsi="Californian FB"/>
          <w:sz w:val="24"/>
          <w:szCs w:val="24"/>
        </w:rPr>
        <w:t>, 888 F.3d 418 (9th Cir. 2018)</w:t>
      </w:r>
      <w:r w:rsidR="00C267FB">
        <w:rPr>
          <w:rFonts w:ascii="Californian FB" w:hAnsi="Californian FB"/>
          <w:sz w:val="24"/>
          <w:szCs w:val="24"/>
        </w:rPr>
        <w:t>, t</w:t>
      </w:r>
      <w:r w:rsidR="00B17C38" w:rsidRPr="00B17C38">
        <w:rPr>
          <w:rFonts w:ascii="Californian FB" w:hAnsi="Californian FB"/>
          <w:sz w:val="24"/>
          <w:szCs w:val="24"/>
        </w:rPr>
        <w:t>he Ninth Circuit affirmed a judgment against Naruto</w:t>
      </w:r>
      <w:r w:rsidR="00C267FB">
        <w:rPr>
          <w:rFonts w:ascii="Californian FB" w:hAnsi="Californian FB"/>
          <w:sz w:val="24"/>
          <w:szCs w:val="24"/>
        </w:rPr>
        <w:t xml:space="preserve"> and PETA</w:t>
      </w:r>
      <w:r w:rsidR="008A48E2">
        <w:rPr>
          <w:rFonts w:ascii="Californian FB" w:hAnsi="Californian FB"/>
          <w:sz w:val="24"/>
          <w:szCs w:val="24"/>
        </w:rPr>
        <w:t xml:space="preserve">. It held </w:t>
      </w:r>
      <w:r w:rsidR="00B17C38" w:rsidRPr="00B17C38">
        <w:rPr>
          <w:rFonts w:ascii="Californian FB" w:hAnsi="Californian FB"/>
          <w:sz w:val="24"/>
          <w:szCs w:val="24"/>
        </w:rPr>
        <w:t>that unless a statute provides explicitly to the contrary, animals lack standing to raise federal statutory claims, including claims for copyright infringement.  To bolster this reasoning</w:t>
      </w:r>
      <w:r w:rsidR="00C267FB">
        <w:rPr>
          <w:rFonts w:ascii="Californian FB" w:hAnsi="Californian FB"/>
          <w:sz w:val="24"/>
          <w:szCs w:val="24"/>
        </w:rPr>
        <w:t>,</w:t>
      </w:r>
      <w:r w:rsidR="00B17C38" w:rsidRPr="00B17C38">
        <w:rPr>
          <w:rFonts w:ascii="Californian FB" w:hAnsi="Californian FB"/>
          <w:sz w:val="24"/>
          <w:szCs w:val="24"/>
        </w:rPr>
        <w:t xml:space="preserve"> the court noted that several provisions of the </w:t>
      </w:r>
      <w:r w:rsidR="00C267FB">
        <w:rPr>
          <w:rFonts w:ascii="Californian FB" w:hAnsi="Californian FB"/>
          <w:sz w:val="24"/>
          <w:szCs w:val="24"/>
        </w:rPr>
        <w:t>C</w:t>
      </w:r>
      <w:r w:rsidR="00B17C38" w:rsidRPr="00B17C38">
        <w:rPr>
          <w:rFonts w:ascii="Californian FB" w:hAnsi="Californian FB"/>
          <w:sz w:val="24"/>
          <w:szCs w:val="24"/>
        </w:rPr>
        <w:t xml:space="preserve">opyright </w:t>
      </w:r>
      <w:r w:rsidR="00C267FB">
        <w:rPr>
          <w:rFonts w:ascii="Californian FB" w:hAnsi="Californian FB"/>
          <w:sz w:val="24"/>
          <w:szCs w:val="24"/>
        </w:rPr>
        <w:t>Act</w:t>
      </w:r>
      <w:r w:rsidR="00B17C38" w:rsidRPr="00B17C38">
        <w:rPr>
          <w:rFonts w:ascii="Californian FB" w:hAnsi="Californian FB"/>
          <w:sz w:val="24"/>
          <w:szCs w:val="24"/>
        </w:rPr>
        <w:t xml:space="preserve"> refer to an author’s widow or widower, provisions which suggest an intent to exclude animals from asserting rights under the statute because animals do not marry. </w:t>
      </w:r>
    </w:p>
    <w:p w14:paraId="13B9AF0C" w14:textId="3717933E" w:rsidR="00856D37" w:rsidRDefault="00C169AD" w:rsidP="000519BC">
      <w:pPr>
        <w:autoSpaceDE w:val="0"/>
        <w:autoSpaceDN w:val="0"/>
        <w:adjustRightInd w:val="0"/>
        <w:spacing w:after="120"/>
        <w:ind w:left="547"/>
        <w:jc w:val="both"/>
        <w:rPr>
          <w:rFonts w:ascii="Californian FB" w:hAnsi="Californian FB" w:cs="TimesNewRomanPSMT"/>
          <w:sz w:val="24"/>
          <w:szCs w:val="24"/>
        </w:rPr>
      </w:pPr>
      <w:r>
        <w:rPr>
          <w:rFonts w:ascii="Californian FB" w:hAnsi="Californian FB"/>
          <w:noProof/>
          <w:szCs w:val="24"/>
        </w:rPr>
        <mc:AlternateContent>
          <mc:Choice Requires="wps">
            <w:drawing>
              <wp:anchor distT="0" distB="0" distL="114300" distR="114300" simplePos="0" relativeHeight="251739136" behindDoc="1" locked="0" layoutInCell="1" allowOverlap="1" wp14:anchorId="1E7882D3" wp14:editId="3FBEA0A1">
                <wp:simplePos x="0" y="0"/>
                <wp:positionH relativeFrom="margin">
                  <wp:posOffset>4191000</wp:posOffset>
                </wp:positionH>
                <wp:positionV relativeFrom="paragraph">
                  <wp:posOffset>514350</wp:posOffset>
                </wp:positionV>
                <wp:extent cx="1733550" cy="1299845"/>
                <wp:effectExtent l="0" t="0" r="19050" b="14605"/>
                <wp:wrapTight wrapText="bothSides">
                  <wp:wrapPolygon edited="0">
                    <wp:start x="0" y="0"/>
                    <wp:lineTo x="0" y="21526"/>
                    <wp:lineTo x="21600" y="21526"/>
                    <wp:lineTo x="216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33550" cy="1299845"/>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8CDF20" w14:textId="77777777" w:rsidR="00A9227A" w:rsidRDefault="00C169AD" w:rsidP="003071D7">
                            <w:pPr>
                              <w:jc w:val="center"/>
                              <w:rPr>
                                <w:rFonts w:ascii="Californian FB" w:hAnsi="Californian FB"/>
                                <w:b/>
                              </w:rPr>
                            </w:pPr>
                            <w:r>
                              <w:rPr>
                                <w:rFonts w:ascii="Californian FB" w:hAnsi="Californian FB"/>
                                <w:b/>
                              </w:rPr>
                              <w:t>GO ONLINE</w:t>
                            </w:r>
                          </w:p>
                          <w:p w14:paraId="620A525D" w14:textId="62065236" w:rsidR="00C169AD" w:rsidRPr="00AD1D2B" w:rsidRDefault="00F009E0" w:rsidP="00A9227A">
                            <w:pPr>
                              <w:jc w:val="both"/>
                              <w:rPr>
                                <w:rFonts w:ascii="Californian FB" w:hAnsi="Californian FB"/>
                              </w:rPr>
                            </w:pPr>
                            <w:r>
                              <w:rPr>
                                <w:rFonts w:ascii="Californian FB" w:hAnsi="Californian FB"/>
                              </w:rPr>
                              <w:t xml:space="preserve">Curious about what kind of illustration a “Creativity Machine” would create?  </w:t>
                            </w:r>
                            <w:hyperlink r:id="rId14" w:history="1">
                              <w:r w:rsidRPr="00F009E0">
                                <w:rPr>
                                  <w:rStyle w:val="Hyperlink"/>
                                  <w:rFonts w:ascii="Californian FB" w:hAnsi="Californian FB"/>
                                </w:rPr>
                                <w:t>Click here</w:t>
                              </w:r>
                            </w:hyperlink>
                            <w:r>
                              <w:rPr>
                                <w:rFonts w:ascii="Californian FB" w:hAnsi="Californian FB"/>
                              </w:rPr>
                              <w:t xml:space="preserve"> to see “A Recent Entrance to Paradise”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82D3" id="Text Box 17" o:spid="_x0000_s1027" type="#_x0000_t202" style="position:absolute;left:0;text-align:left;margin-left:330pt;margin-top:40.5pt;width:136.5pt;height:102.3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" fillcolor="#bdd6ee [1300]" strokecolor="#bdd6ee [1300]" strokeweight=".5pt">
                <v:textbox>
                  <w:txbxContent>
                    <w:p w14:paraId="278CDF20" w14:textId="77777777" w:rsidR="00A9227A" w:rsidRDefault="00C169AD" w:rsidP="003071D7">
                      <w:pPr>
                        <w:jc w:val="center"/>
                        <w:rPr>
                          <w:rFonts w:ascii="Californian FB" w:hAnsi="Californian FB"/>
                          <w:b/>
                        </w:rPr>
                      </w:pPr>
                      <w:r>
                        <w:rPr>
                          <w:rFonts w:ascii="Californian FB" w:hAnsi="Californian FB"/>
                          <w:b/>
                        </w:rPr>
                        <w:t>GO ONLINE</w:t>
                      </w:r>
                    </w:p>
                    <w:p w14:paraId="620A525D" w14:textId="62065236" w:rsidR="00C169AD" w:rsidRPr="00AD1D2B" w:rsidRDefault="00F009E0" w:rsidP="00A9227A">
                      <w:pPr>
                        <w:jc w:val="both"/>
                        <w:rPr>
                          <w:rFonts w:ascii="Californian FB" w:hAnsi="Californian FB"/>
                        </w:rPr>
                      </w:pPr>
                      <w:r>
                        <w:rPr>
                          <w:rFonts w:ascii="Californian FB" w:hAnsi="Californian FB"/>
                        </w:rPr>
                        <w:t xml:space="preserve">Curious about what kind of illustration a “Creativity Machine” would create?  </w:t>
                      </w:r>
                      <w:hyperlink r:id="rId15" w:history="1">
                        <w:r w:rsidRPr="00F009E0">
                          <w:rPr>
                            <w:rStyle w:val="Hyperlink"/>
                            <w:rFonts w:ascii="Californian FB" w:hAnsi="Californian FB"/>
                          </w:rPr>
                          <w:t>Click here</w:t>
                        </w:r>
                      </w:hyperlink>
                      <w:r>
                        <w:rPr>
                          <w:rFonts w:ascii="Californian FB" w:hAnsi="Californian FB"/>
                        </w:rPr>
                        <w:t xml:space="preserve"> to see “A Recent Entrance to Paradise” </w:t>
                      </w:r>
                    </w:p>
                  </w:txbxContent>
                </v:textbox>
                <w10:wrap type="tight" anchorx="margin"/>
              </v:shape>
            </w:pict>
          </mc:Fallback>
        </mc:AlternateContent>
      </w:r>
      <w:r w:rsidR="008A48E2">
        <w:rPr>
          <w:rFonts w:ascii="Californian FB" w:hAnsi="Californian FB"/>
          <w:sz w:val="24"/>
          <w:szCs w:val="24"/>
        </w:rPr>
        <w:t>The claim of computer authorship arose when a gentleman named Steven Thaler, who has made something of a hobby of trying to get computers recognized as authors and inventors around the globe, applied to register a graphic art work</w:t>
      </w:r>
      <w:r w:rsidR="00C267FB">
        <w:rPr>
          <w:rFonts w:ascii="Californian FB" w:hAnsi="Californian FB"/>
          <w:sz w:val="24"/>
          <w:szCs w:val="24"/>
        </w:rPr>
        <w:t xml:space="preserve">, </w:t>
      </w:r>
      <w:r w:rsidR="00C267FB" w:rsidRPr="00C267FB">
        <w:rPr>
          <w:rFonts w:ascii="Californian FB" w:hAnsi="Californian FB"/>
          <w:sz w:val="24"/>
          <w:szCs w:val="24"/>
        </w:rPr>
        <w:t>titled “A Recent Entrance to Paradise,”</w:t>
      </w:r>
      <w:r w:rsidR="00C267FB">
        <w:rPr>
          <w:rFonts w:ascii="Californian FB" w:hAnsi="Californian FB"/>
          <w:sz w:val="24"/>
          <w:szCs w:val="24"/>
        </w:rPr>
        <w:t xml:space="preserve"> </w:t>
      </w:r>
      <w:r w:rsidR="008A48E2">
        <w:rPr>
          <w:rFonts w:ascii="Californian FB" w:hAnsi="Californian FB"/>
          <w:sz w:val="24"/>
          <w:szCs w:val="24"/>
        </w:rPr>
        <w:t xml:space="preserve">with the U.S. Copyright Office.  Thaler </w:t>
      </w:r>
      <w:r w:rsidR="006E25EE">
        <w:rPr>
          <w:rFonts w:ascii="Californian FB" w:hAnsi="Californian FB"/>
          <w:sz w:val="24"/>
          <w:szCs w:val="24"/>
        </w:rPr>
        <w:t>listed the author of the work as “Creativity Machine,”</w:t>
      </w:r>
      <w:r w:rsidR="00C267FB">
        <w:rPr>
          <w:rFonts w:ascii="Californian FB" w:hAnsi="Californian FB"/>
          <w:sz w:val="24"/>
          <w:szCs w:val="24"/>
        </w:rPr>
        <w:t xml:space="preserve"> and himself as claimant, as owner of the </w:t>
      </w:r>
      <w:r w:rsidR="00C267FB" w:rsidRPr="00C267FB">
        <w:rPr>
          <w:rFonts w:ascii="Californian FB" w:hAnsi="Californian FB"/>
          <w:sz w:val="24"/>
          <w:szCs w:val="24"/>
        </w:rPr>
        <w:t xml:space="preserve">machine. </w:t>
      </w:r>
      <w:r w:rsidR="00C267FB">
        <w:rPr>
          <w:rFonts w:ascii="Californian FB" w:hAnsi="Californian FB"/>
          <w:sz w:val="24"/>
          <w:szCs w:val="24"/>
        </w:rPr>
        <w:t xml:space="preserve">The Copyright Office </w:t>
      </w:r>
      <w:r w:rsidR="00FB317E">
        <w:rPr>
          <w:rFonts w:ascii="Californian FB" w:hAnsi="Californian FB"/>
          <w:sz w:val="24"/>
          <w:szCs w:val="24"/>
        </w:rPr>
        <w:t xml:space="preserve">Review Board </w:t>
      </w:r>
      <w:r w:rsidR="00C267FB">
        <w:rPr>
          <w:rFonts w:ascii="Californian FB" w:hAnsi="Californian FB"/>
          <w:sz w:val="24"/>
          <w:szCs w:val="24"/>
        </w:rPr>
        <w:t xml:space="preserve">accepted </w:t>
      </w:r>
      <w:r w:rsidR="00C267FB" w:rsidRPr="003071D7">
        <w:rPr>
          <w:rFonts w:ascii="Californian FB" w:hAnsi="Californian FB" w:cs="TimesNewRomanPSMT"/>
          <w:sz w:val="24"/>
          <w:szCs w:val="24"/>
        </w:rPr>
        <w:t xml:space="preserve">Thaler’s representation that </w:t>
      </w:r>
      <w:r w:rsidR="00FB317E">
        <w:rPr>
          <w:rFonts w:ascii="Californian FB" w:hAnsi="Californian FB" w:cs="TimesNewRomanPSMT"/>
          <w:sz w:val="24"/>
          <w:szCs w:val="24"/>
        </w:rPr>
        <w:t>“</w:t>
      </w:r>
      <w:r w:rsidR="00C267FB" w:rsidRPr="003071D7">
        <w:rPr>
          <w:rFonts w:ascii="Californian FB" w:hAnsi="Californian FB" w:cs="TimesNewRomanPSMT"/>
          <w:sz w:val="24"/>
          <w:szCs w:val="24"/>
        </w:rPr>
        <w:t xml:space="preserve">the </w:t>
      </w:r>
      <w:r w:rsidR="00C267FB">
        <w:rPr>
          <w:rFonts w:ascii="Californian FB" w:hAnsi="Californian FB" w:cs="TimesNewRomanPSMT"/>
          <w:sz w:val="24"/>
          <w:szCs w:val="24"/>
        </w:rPr>
        <w:t>w</w:t>
      </w:r>
      <w:r w:rsidR="00C267FB" w:rsidRPr="003071D7">
        <w:rPr>
          <w:rFonts w:ascii="Californian FB" w:hAnsi="Californian FB" w:cs="TimesNewRomanPSMT"/>
          <w:sz w:val="24"/>
          <w:szCs w:val="24"/>
        </w:rPr>
        <w:t>ork was</w:t>
      </w:r>
      <w:r w:rsidR="00C267FB">
        <w:rPr>
          <w:rFonts w:ascii="Californian FB" w:hAnsi="Californian FB" w:cs="TimesNewRomanPSMT"/>
          <w:sz w:val="24"/>
          <w:szCs w:val="24"/>
        </w:rPr>
        <w:t xml:space="preserve"> </w:t>
      </w:r>
      <w:r w:rsidR="00C267FB" w:rsidRPr="003071D7">
        <w:rPr>
          <w:rFonts w:ascii="Californian FB" w:hAnsi="Californian FB" w:cs="TimesNewRomanPSMT"/>
          <w:sz w:val="24"/>
          <w:szCs w:val="24"/>
        </w:rPr>
        <w:t>autonomously created by artificial intelligence without any creative contribution from a human</w:t>
      </w:r>
      <w:r w:rsidR="00FB317E">
        <w:rPr>
          <w:rFonts w:ascii="Californian FB" w:hAnsi="Californian FB" w:cs="TimesNewRomanPSMT"/>
          <w:sz w:val="24"/>
          <w:szCs w:val="24"/>
        </w:rPr>
        <w:t xml:space="preserve"> </w:t>
      </w:r>
      <w:r w:rsidR="00C267FB" w:rsidRPr="003071D7">
        <w:rPr>
          <w:rFonts w:ascii="Californian FB" w:hAnsi="Californian FB" w:cs="TimesNewRomanPSMT"/>
          <w:sz w:val="24"/>
          <w:szCs w:val="24"/>
        </w:rPr>
        <w:t>actor</w:t>
      </w:r>
      <w:r w:rsidR="00FB317E">
        <w:rPr>
          <w:rFonts w:ascii="Californian FB" w:hAnsi="Californian FB" w:cs="TimesNewRomanPSMT"/>
          <w:sz w:val="24"/>
          <w:szCs w:val="24"/>
        </w:rPr>
        <w:t xml:space="preserve">.”  </w:t>
      </w:r>
      <w:hyperlink r:id="rId16" w:history="1">
        <w:r w:rsidR="00FB317E" w:rsidRPr="00FB317E">
          <w:rPr>
            <w:rStyle w:val="Hyperlink"/>
            <w:rFonts w:ascii="Californian FB" w:hAnsi="Californian FB" w:cs="TimesNewRomanPSMT"/>
            <w:sz w:val="24"/>
            <w:szCs w:val="24"/>
          </w:rPr>
          <w:t xml:space="preserve">U.S. Copyright Office Review Board, </w:t>
        </w:r>
        <w:proofErr w:type="gramStart"/>
        <w:r w:rsidR="00FB317E" w:rsidRPr="00FB317E">
          <w:rPr>
            <w:rStyle w:val="Hyperlink"/>
            <w:rFonts w:ascii="Californian FB" w:hAnsi="Californian FB" w:cs="TimesNewRomanPSMT"/>
            <w:sz w:val="24"/>
            <w:szCs w:val="24"/>
          </w:rPr>
          <w:t>Re</w:t>
        </w:r>
        <w:proofErr w:type="gramEnd"/>
        <w:r w:rsidR="00FB317E" w:rsidRPr="00FB317E">
          <w:rPr>
            <w:rStyle w:val="Hyperlink"/>
            <w:rFonts w:ascii="Californian FB" w:hAnsi="Californian FB" w:cs="TimesNewRomanPSMT"/>
            <w:sz w:val="24"/>
            <w:szCs w:val="24"/>
          </w:rPr>
          <w:t>: Second Request for Reconsideration for Refusal to Register A Recent Entrance to Paradise</w:t>
        </w:r>
        <w:r w:rsidR="00E961A4">
          <w:rPr>
            <w:rStyle w:val="Hyperlink"/>
            <w:rFonts w:ascii="Californian FB" w:hAnsi="Californian FB" w:cs="TimesNewRomanPSMT"/>
            <w:sz w:val="24"/>
            <w:szCs w:val="24"/>
          </w:rPr>
          <w:t xml:space="preserve"> 2</w:t>
        </w:r>
        <w:r w:rsidR="00FB317E" w:rsidRPr="00FB317E">
          <w:rPr>
            <w:rStyle w:val="Hyperlink"/>
            <w:rFonts w:ascii="Californian FB" w:hAnsi="Californian FB" w:cs="TimesNewRomanPSMT"/>
            <w:sz w:val="24"/>
            <w:szCs w:val="24"/>
          </w:rPr>
          <w:t xml:space="preserve"> (Correspondence ID 1-3ZPC6C3; SR # 1-7100387071)</w:t>
        </w:r>
      </w:hyperlink>
      <w:r w:rsidR="00FB317E">
        <w:rPr>
          <w:rFonts w:ascii="Californian FB" w:hAnsi="Californian FB" w:cs="TimesNewRomanPSMT"/>
          <w:sz w:val="24"/>
          <w:szCs w:val="24"/>
        </w:rPr>
        <w:t xml:space="preserve"> (February 14, 2022).  However, “[a]</w:t>
      </w:r>
      <w:proofErr w:type="spellStart"/>
      <w:r w:rsidR="00FB317E" w:rsidRPr="00FB317E">
        <w:rPr>
          <w:rFonts w:ascii="Californian FB" w:hAnsi="Californian FB" w:cs="TimesNewRomanPSMT"/>
          <w:sz w:val="24"/>
          <w:szCs w:val="24"/>
        </w:rPr>
        <w:t>fter</w:t>
      </w:r>
      <w:proofErr w:type="spellEnd"/>
      <w:r w:rsidR="00FB317E" w:rsidRPr="00FB317E">
        <w:rPr>
          <w:rFonts w:ascii="Californian FB" w:hAnsi="Californian FB" w:cs="TimesNewRomanPSMT"/>
          <w:sz w:val="24"/>
          <w:szCs w:val="24"/>
        </w:rPr>
        <w:t xml:space="preserve"> reviewing the</w:t>
      </w:r>
      <w:r w:rsidR="00FB317E">
        <w:rPr>
          <w:rFonts w:ascii="Californian FB" w:hAnsi="Californian FB" w:cs="TimesNewRomanPSMT"/>
          <w:sz w:val="24"/>
          <w:szCs w:val="24"/>
        </w:rPr>
        <w:t xml:space="preserve"> </w:t>
      </w:r>
      <w:r w:rsidR="00FB317E" w:rsidRPr="00FB317E">
        <w:rPr>
          <w:rFonts w:ascii="Californian FB" w:hAnsi="Californian FB" w:cs="TimesNewRomanPSMT"/>
          <w:sz w:val="24"/>
          <w:szCs w:val="24"/>
        </w:rPr>
        <w:t xml:space="preserve">statutory text, judicial precedent, and longstanding Copyright Office practice, the Board </w:t>
      </w:r>
      <w:r w:rsidR="00E961A4">
        <w:rPr>
          <w:rFonts w:ascii="Californian FB" w:hAnsi="Californian FB" w:cs="TimesNewRomanPSMT"/>
          <w:sz w:val="24"/>
          <w:szCs w:val="24"/>
        </w:rPr>
        <w:t xml:space="preserve">. . . </w:t>
      </w:r>
      <w:r w:rsidR="00FB317E" w:rsidRPr="00FB317E">
        <w:rPr>
          <w:rFonts w:ascii="Californian FB" w:hAnsi="Californian FB" w:cs="TimesNewRomanPSMT"/>
          <w:sz w:val="24"/>
          <w:szCs w:val="24"/>
        </w:rPr>
        <w:t>conclude</w:t>
      </w:r>
      <w:r w:rsidR="00E961A4">
        <w:rPr>
          <w:rFonts w:ascii="Californian FB" w:hAnsi="Californian FB" w:cs="TimesNewRomanPSMT"/>
          <w:sz w:val="24"/>
          <w:szCs w:val="24"/>
        </w:rPr>
        <w:t>[d]</w:t>
      </w:r>
      <w:r w:rsidR="00FB317E" w:rsidRPr="00FB317E">
        <w:rPr>
          <w:rFonts w:ascii="Californian FB" w:hAnsi="Californian FB" w:cs="TimesNewRomanPSMT"/>
          <w:sz w:val="24"/>
          <w:szCs w:val="24"/>
        </w:rPr>
        <w:t xml:space="preserve"> that human authorship </w:t>
      </w:r>
      <w:r w:rsidR="00E961A4">
        <w:rPr>
          <w:rFonts w:ascii="Californian FB" w:hAnsi="Californian FB" w:cs="TimesNewRomanPSMT"/>
          <w:sz w:val="24"/>
          <w:szCs w:val="24"/>
        </w:rPr>
        <w:t>[was]</w:t>
      </w:r>
      <w:r w:rsidR="00FB317E" w:rsidRPr="00FB317E">
        <w:rPr>
          <w:rFonts w:ascii="Californian FB" w:hAnsi="Californian FB" w:cs="TimesNewRomanPSMT"/>
          <w:sz w:val="24"/>
          <w:szCs w:val="24"/>
        </w:rPr>
        <w:t xml:space="preserve"> a prerequisite to copyright protection in the United States and</w:t>
      </w:r>
      <w:r w:rsidR="00E961A4">
        <w:rPr>
          <w:rFonts w:ascii="Californian FB" w:hAnsi="Californian FB" w:cs="TimesNewRomanPSMT"/>
          <w:sz w:val="24"/>
          <w:szCs w:val="24"/>
        </w:rPr>
        <w:t xml:space="preserve"> </w:t>
      </w:r>
      <w:r w:rsidR="00FB317E" w:rsidRPr="00FB317E">
        <w:rPr>
          <w:rFonts w:ascii="Californian FB" w:hAnsi="Californian FB" w:cs="TimesNewRomanPSMT"/>
          <w:sz w:val="24"/>
          <w:szCs w:val="24"/>
        </w:rPr>
        <w:t xml:space="preserve">that the Work therefore </w:t>
      </w:r>
      <w:r w:rsidR="00E961A4">
        <w:rPr>
          <w:rFonts w:ascii="Californian FB" w:hAnsi="Californian FB" w:cs="TimesNewRomanPSMT"/>
          <w:sz w:val="24"/>
          <w:szCs w:val="24"/>
        </w:rPr>
        <w:t>[could not]</w:t>
      </w:r>
      <w:r w:rsidR="00FB317E" w:rsidRPr="00FB317E">
        <w:rPr>
          <w:rFonts w:ascii="Californian FB" w:hAnsi="Californian FB" w:cs="TimesNewRomanPSMT"/>
          <w:sz w:val="24"/>
          <w:szCs w:val="24"/>
        </w:rPr>
        <w:t xml:space="preserve"> be registered.</w:t>
      </w:r>
      <w:r w:rsidR="00E961A4">
        <w:rPr>
          <w:rFonts w:ascii="Californian FB" w:hAnsi="Californian FB" w:cs="TimesNewRomanPSMT"/>
          <w:sz w:val="24"/>
          <w:szCs w:val="24"/>
        </w:rPr>
        <w:t xml:space="preserve">”  </w:t>
      </w:r>
      <w:r w:rsidR="00E961A4">
        <w:rPr>
          <w:rFonts w:ascii="Californian FB" w:hAnsi="Californian FB" w:cs="TimesNewRomanPSMT"/>
          <w:i/>
          <w:iCs/>
          <w:sz w:val="24"/>
          <w:szCs w:val="24"/>
        </w:rPr>
        <w:t>Id.</w:t>
      </w:r>
      <w:r w:rsidR="00E961A4">
        <w:rPr>
          <w:rFonts w:ascii="Californian FB" w:hAnsi="Californian FB" w:cs="TimesNewRomanPSMT"/>
          <w:sz w:val="24"/>
          <w:szCs w:val="24"/>
        </w:rPr>
        <w:t xml:space="preserve"> at 3. </w:t>
      </w:r>
    </w:p>
    <w:p w14:paraId="53B0800C" w14:textId="53340BAE" w:rsidR="00322AF2" w:rsidRDefault="00656F24" w:rsidP="000519BC">
      <w:pPr>
        <w:autoSpaceDE w:val="0"/>
        <w:autoSpaceDN w:val="0"/>
        <w:adjustRightInd w:val="0"/>
        <w:spacing w:after="0"/>
        <w:ind w:left="540"/>
        <w:jc w:val="both"/>
        <w:rPr>
          <w:rFonts w:ascii="Californian FB" w:hAnsi="Californian FB" w:cs="TimesNewRomanPSMT"/>
          <w:sz w:val="24"/>
          <w:szCs w:val="24"/>
        </w:rPr>
      </w:pPr>
      <w:r>
        <w:rPr>
          <w:rFonts w:ascii="Californian FB" w:hAnsi="Californian FB" w:cs="TimesNewRomanPSMT"/>
          <w:sz w:val="24"/>
          <w:szCs w:val="24"/>
        </w:rPr>
        <w:t>As we will explore in greater detail in Chapter 8, § 201</w:t>
      </w:r>
      <w:r w:rsidR="00FA582B">
        <w:rPr>
          <w:rFonts w:ascii="Californian FB" w:hAnsi="Californian FB" w:cs="TimesNewRomanPSMT"/>
          <w:sz w:val="24"/>
          <w:szCs w:val="24"/>
        </w:rPr>
        <w:t>(a)</w:t>
      </w:r>
      <w:r>
        <w:rPr>
          <w:rFonts w:ascii="Californian FB" w:hAnsi="Californian FB" w:cs="TimesNewRomanPSMT"/>
          <w:sz w:val="24"/>
          <w:szCs w:val="24"/>
        </w:rPr>
        <w:t xml:space="preserve"> of the Copyright Act deems the author </w:t>
      </w:r>
      <w:r w:rsidR="00FA582B">
        <w:rPr>
          <w:rFonts w:ascii="Californian FB" w:hAnsi="Californian FB" w:cs="TimesNewRomanPSMT"/>
          <w:sz w:val="24"/>
          <w:szCs w:val="24"/>
        </w:rPr>
        <w:t xml:space="preserve">of a work to be the initial owner of copyright in a work.  Is a monkey or a computer program in any position to assume </w:t>
      </w:r>
      <w:proofErr w:type="spellStart"/>
      <w:r w:rsidR="00FA582B">
        <w:rPr>
          <w:rFonts w:ascii="Californian FB" w:hAnsi="Californian FB" w:cs="TimesNewRomanPSMT"/>
          <w:sz w:val="24"/>
          <w:szCs w:val="24"/>
        </w:rPr>
        <w:t>ownerhship</w:t>
      </w:r>
      <w:proofErr w:type="spellEnd"/>
      <w:r w:rsidR="00FA582B">
        <w:rPr>
          <w:rFonts w:ascii="Californian FB" w:hAnsi="Californian FB" w:cs="TimesNewRomanPSMT"/>
          <w:sz w:val="24"/>
          <w:szCs w:val="24"/>
        </w:rPr>
        <w:t xml:space="preserve"> of a work, and make and implement decisions about how it should or should not be used of licensed?  Perhaps seeking to avoid that problem, Steven Thaler argued that he was the constructive author and initial owner of “A Recent Entrance to Paradise” under the “work made for hire” provision </w:t>
      </w:r>
      <w:proofErr w:type="gramStart"/>
      <w:r w:rsidR="00FA582B">
        <w:rPr>
          <w:rFonts w:ascii="Californian FB" w:hAnsi="Californian FB" w:cs="TimesNewRomanPSMT"/>
          <w:sz w:val="24"/>
          <w:szCs w:val="24"/>
        </w:rPr>
        <w:t xml:space="preserve">of </w:t>
      </w:r>
      <w:r w:rsidR="00FA582B" w:rsidRPr="00FA582B">
        <w:rPr>
          <w:rFonts w:ascii="Californian FB" w:hAnsi="Californian FB" w:cs="TimesNewRomanPSMT"/>
          <w:sz w:val="24"/>
          <w:szCs w:val="24"/>
        </w:rPr>
        <w:t xml:space="preserve"> §</w:t>
      </w:r>
      <w:proofErr w:type="gramEnd"/>
      <w:r w:rsidR="00FA582B" w:rsidRPr="00FA582B">
        <w:rPr>
          <w:rFonts w:ascii="Californian FB" w:hAnsi="Californian FB" w:cs="TimesNewRomanPSMT"/>
          <w:sz w:val="24"/>
          <w:szCs w:val="24"/>
        </w:rPr>
        <w:t xml:space="preserve"> 201(</w:t>
      </w:r>
      <w:r w:rsidR="00977C23">
        <w:rPr>
          <w:rFonts w:ascii="Californian FB" w:hAnsi="Californian FB" w:cs="TimesNewRomanPSMT"/>
          <w:sz w:val="24"/>
          <w:szCs w:val="24"/>
        </w:rPr>
        <w:t xml:space="preserve">b) (which we will also explore in Chapter 8).  However, for a work to be a “work made for hire,” the actual creator of a work must have entered into an employment arrangement, or signed a written agreement deeming a work to be a specially commissioned work made for hire.  </w:t>
      </w:r>
      <w:r w:rsidR="00977C23">
        <w:rPr>
          <w:rFonts w:ascii="Californian FB" w:hAnsi="Californian FB" w:cs="TimesNewRomanPSMT"/>
          <w:i/>
          <w:iCs/>
          <w:sz w:val="24"/>
          <w:szCs w:val="24"/>
        </w:rPr>
        <w:t xml:space="preserve">See </w:t>
      </w:r>
      <w:r w:rsidR="00977C23">
        <w:rPr>
          <w:rFonts w:ascii="Californian FB" w:hAnsi="Californian FB" w:cs="TimesNewRomanPSMT"/>
          <w:sz w:val="24"/>
          <w:szCs w:val="24"/>
        </w:rPr>
        <w:t>17 U.S.C. § 101 (“work made for hire”). We don’t believe that monkeys or computer programs have the capacity to enter into such arrangements or agreements. (Will an “artificial intelligence” someday have</w:t>
      </w:r>
      <w:r w:rsidR="00322AF2">
        <w:rPr>
          <w:rFonts w:ascii="Californian FB" w:hAnsi="Californian FB" w:cs="TimesNewRomanPSMT"/>
          <w:sz w:val="24"/>
          <w:szCs w:val="24"/>
        </w:rPr>
        <w:t xml:space="preserve"> </w:t>
      </w:r>
      <w:r w:rsidR="00C169AD">
        <w:rPr>
          <w:rFonts w:ascii="Californian FB" w:hAnsi="Californian FB" w:cs="TimesNewRomanPSMT"/>
          <w:sz w:val="24"/>
          <w:szCs w:val="24"/>
        </w:rPr>
        <w:t>enough</w:t>
      </w:r>
      <w:r w:rsidR="00322AF2">
        <w:rPr>
          <w:rFonts w:ascii="Californian FB" w:hAnsi="Californian FB" w:cs="TimesNewRomanPSMT"/>
          <w:sz w:val="24"/>
          <w:szCs w:val="24"/>
        </w:rPr>
        <w:t xml:space="preserve"> cognitive power</w:t>
      </w:r>
      <w:r w:rsidR="00C169AD">
        <w:rPr>
          <w:rFonts w:ascii="Californian FB" w:hAnsi="Californian FB" w:cs="TimesNewRomanPSMT"/>
          <w:sz w:val="24"/>
          <w:szCs w:val="24"/>
        </w:rPr>
        <w:t>, self-awareness,</w:t>
      </w:r>
      <w:r w:rsidR="00322AF2">
        <w:rPr>
          <w:rFonts w:ascii="Californian FB" w:hAnsi="Californian FB" w:cs="TimesNewRomanPSMT"/>
          <w:sz w:val="24"/>
          <w:szCs w:val="24"/>
        </w:rPr>
        <w:t xml:space="preserve"> and self-determination that it will be recognized as a legal actor?  Maybe, </w:t>
      </w:r>
      <w:r w:rsidR="00C169AD">
        <w:rPr>
          <w:rFonts w:ascii="Californian FB" w:hAnsi="Californian FB" w:cs="TimesNewRomanPSMT"/>
          <w:sz w:val="24"/>
          <w:szCs w:val="24"/>
        </w:rPr>
        <w:t xml:space="preserve">but that day is still </w:t>
      </w:r>
      <w:r w:rsidR="00322AF2">
        <w:rPr>
          <w:rFonts w:ascii="Californian FB" w:hAnsi="Californian FB" w:cs="TimesNewRomanPSMT"/>
          <w:sz w:val="24"/>
          <w:szCs w:val="24"/>
        </w:rPr>
        <w:t xml:space="preserve">far in </w:t>
      </w:r>
      <w:r w:rsidR="00322AF2">
        <w:rPr>
          <w:rFonts w:ascii="Californian FB" w:hAnsi="Californian FB" w:cs="TimesNewRomanPSMT"/>
          <w:sz w:val="24"/>
          <w:szCs w:val="24"/>
        </w:rPr>
        <w:lastRenderedPageBreak/>
        <w:t xml:space="preserve">the future.) </w:t>
      </w:r>
      <w:r w:rsidR="00977C23">
        <w:rPr>
          <w:rFonts w:ascii="Californian FB" w:hAnsi="Californian FB" w:cs="TimesNewRomanPSMT"/>
          <w:sz w:val="24"/>
          <w:szCs w:val="24"/>
        </w:rPr>
        <w:t>Thus, the Copyright Act’s ownership provi</w:t>
      </w:r>
      <w:r w:rsidR="00322AF2">
        <w:rPr>
          <w:rFonts w:ascii="Californian FB" w:hAnsi="Californian FB" w:cs="TimesNewRomanPSMT"/>
          <w:sz w:val="24"/>
          <w:szCs w:val="24"/>
        </w:rPr>
        <w:t xml:space="preserve">sions are among those </w:t>
      </w:r>
      <w:r w:rsidR="00C169AD">
        <w:rPr>
          <w:rFonts w:ascii="Californian FB" w:hAnsi="Californian FB" w:cs="TimesNewRomanPSMT"/>
          <w:sz w:val="24"/>
          <w:szCs w:val="24"/>
        </w:rPr>
        <w:t>which</w:t>
      </w:r>
      <w:r w:rsidR="00322AF2">
        <w:rPr>
          <w:rFonts w:ascii="Californian FB" w:hAnsi="Californian FB" w:cs="TimesNewRomanPSMT"/>
          <w:sz w:val="24"/>
          <w:szCs w:val="24"/>
        </w:rPr>
        <w:t xml:space="preserve"> make clear that the Act contemplates only human authors.</w:t>
      </w:r>
    </w:p>
    <w:p w14:paraId="2807D94C" w14:textId="5D3BA186" w:rsidR="00656F24" w:rsidRPr="003071D7" w:rsidRDefault="00322AF2" w:rsidP="003071D7">
      <w:pPr>
        <w:autoSpaceDE w:val="0"/>
        <w:autoSpaceDN w:val="0"/>
        <w:adjustRightInd w:val="0"/>
        <w:spacing w:after="0" w:line="240" w:lineRule="auto"/>
        <w:rPr>
          <w:rFonts w:ascii="Californian FB" w:hAnsi="Californian FB"/>
          <w:sz w:val="24"/>
          <w:szCs w:val="24"/>
        </w:rPr>
      </w:pPr>
      <w:r>
        <w:rPr>
          <w:rFonts w:ascii="Californian FB" w:hAnsi="Californian FB" w:cs="TimesNewRomanPSMT"/>
          <w:sz w:val="24"/>
          <w:szCs w:val="24"/>
        </w:rPr>
        <w:t xml:space="preserve"> </w:t>
      </w:r>
    </w:p>
    <w:p w14:paraId="6078A017" w14:textId="794ABB27" w:rsidR="00C507AB" w:rsidRPr="008A645C" w:rsidRDefault="008A645C" w:rsidP="000519BC">
      <w:pPr>
        <w:jc w:val="both"/>
        <w:rPr>
          <w:rFonts w:ascii="Californian FB" w:hAnsi="Californian FB" w:cs="MinionPro-It"/>
          <w:b/>
          <w:iCs/>
          <w:sz w:val="28"/>
          <w:szCs w:val="28"/>
        </w:rPr>
      </w:pPr>
      <w:r w:rsidRPr="008A645C">
        <w:rPr>
          <w:rFonts w:ascii="Californian FB" w:hAnsi="Californian FB" w:cs="UniversLTStd-Cn-SC700"/>
          <w:b/>
          <w:sz w:val="28"/>
          <w:szCs w:val="28"/>
        </w:rPr>
        <w:t xml:space="preserve">Chapter 3: </w:t>
      </w:r>
      <w:r w:rsidRPr="008A645C">
        <w:rPr>
          <w:rFonts w:ascii="Californian FB" w:hAnsi="Californian FB" w:cs="MinionPro-It"/>
          <w:b/>
          <w:i/>
          <w:iCs/>
          <w:sz w:val="28"/>
          <w:szCs w:val="28"/>
        </w:rPr>
        <w:t>Fundamental Limitations on Copyright Protection</w:t>
      </w:r>
    </w:p>
    <w:p w14:paraId="5F2C9615" w14:textId="7BCDC331" w:rsidR="008A645C" w:rsidRPr="00B95F09" w:rsidRDefault="008A645C" w:rsidP="00ED6BE0">
      <w:pPr>
        <w:shd w:val="clear" w:color="auto" w:fill="FFFFFF"/>
        <w:rPr>
          <w:rFonts w:ascii="Californian FB" w:hAnsi="Californian FB" w:cs="BerkeleyStd-Book"/>
          <w:b/>
          <w:sz w:val="28"/>
          <w:szCs w:val="28"/>
        </w:rPr>
      </w:pPr>
      <w:r w:rsidRPr="00B95F09">
        <w:rPr>
          <w:rFonts w:ascii="Californian FB" w:hAnsi="Californian FB" w:cs="BerkeleyStd-Book"/>
          <w:b/>
          <w:sz w:val="28"/>
          <w:szCs w:val="28"/>
        </w:rPr>
        <w:t>C. Utility and Functionality</w:t>
      </w:r>
    </w:p>
    <w:p w14:paraId="582AC4D3" w14:textId="1FC62843" w:rsidR="008A645C" w:rsidRDefault="008A645C" w:rsidP="00ED6BE0">
      <w:pPr>
        <w:shd w:val="clear" w:color="auto" w:fill="FFFFFF"/>
        <w:rPr>
          <w:rFonts w:ascii="Californian FB" w:hAnsi="Californian FB" w:cs="BerkeleyStd-Book"/>
          <w:sz w:val="28"/>
          <w:szCs w:val="28"/>
        </w:rPr>
      </w:pPr>
      <w:r w:rsidRPr="008A645C">
        <w:rPr>
          <w:rFonts w:ascii="Californian FB" w:hAnsi="Californian FB" w:cs="BerkeleyStd-Book"/>
          <w:sz w:val="28"/>
          <w:szCs w:val="28"/>
        </w:rPr>
        <w:t>5. Application Programming Interfaces</w:t>
      </w:r>
    </w:p>
    <w:p w14:paraId="6221B716" w14:textId="3EA3ED75" w:rsidR="008A645C" w:rsidRDefault="008A645C" w:rsidP="00ED6BE0">
      <w:pPr>
        <w:shd w:val="clear" w:color="auto" w:fill="FFFFFF"/>
        <w:rPr>
          <w:rFonts w:ascii="Californian FB" w:eastAsia="Times New Roman" w:hAnsi="Californian FB" w:cstheme="minorHAnsi"/>
          <w:sz w:val="28"/>
          <w:szCs w:val="28"/>
        </w:rPr>
      </w:pPr>
      <w:r>
        <w:rPr>
          <w:rFonts w:ascii="Californian FB" w:eastAsia="Times New Roman" w:hAnsi="Californian FB" w:cstheme="minorHAnsi"/>
          <w:sz w:val="28"/>
          <w:szCs w:val="28"/>
        </w:rPr>
        <w:t>p. 196 - Replace first full paragraph with the following:</w:t>
      </w:r>
    </w:p>
    <w:p w14:paraId="3F158626" w14:textId="7F7D7DC6" w:rsidR="007E5202" w:rsidRPr="007E5202" w:rsidRDefault="00BB7351" w:rsidP="007E5202">
      <w:pPr>
        <w:autoSpaceDE w:val="0"/>
        <w:autoSpaceDN w:val="0"/>
        <w:adjustRightInd w:val="0"/>
        <w:spacing w:line="240" w:lineRule="auto"/>
        <w:jc w:val="both"/>
        <w:rPr>
          <w:rFonts w:ascii="Californian FB" w:hAnsi="Californian FB" w:cs="BerkeleyStd-Book"/>
          <w:sz w:val="24"/>
          <w:szCs w:val="24"/>
        </w:rPr>
      </w:pPr>
      <w:r w:rsidRPr="00BB7351">
        <w:rPr>
          <w:rFonts w:ascii="Californian FB" w:hAnsi="Californian FB" w:cs="BerkeleyStd-Book"/>
          <w:sz w:val="24"/>
          <w:szCs w:val="24"/>
        </w:rPr>
        <w:t>On remand, the case went to trial on the issue of whether Google had made fair</w:t>
      </w:r>
      <w:r>
        <w:rPr>
          <w:rFonts w:ascii="Californian FB" w:hAnsi="Californian FB" w:cs="BerkeleyStd-Book"/>
          <w:sz w:val="24"/>
          <w:szCs w:val="24"/>
        </w:rPr>
        <w:t xml:space="preserve"> </w:t>
      </w:r>
      <w:r w:rsidRPr="00BB7351">
        <w:rPr>
          <w:rFonts w:ascii="Californian FB" w:hAnsi="Californian FB" w:cs="BerkeleyStd-Book"/>
          <w:sz w:val="24"/>
          <w:szCs w:val="24"/>
        </w:rPr>
        <w:t xml:space="preserve">use of the Oracle API. </w:t>
      </w:r>
      <w:r w:rsidR="000C4637">
        <w:rPr>
          <w:rFonts w:ascii="Californian FB" w:hAnsi="Californian FB" w:cs="BerkeleyStd-Book"/>
          <w:sz w:val="24"/>
          <w:szCs w:val="24"/>
        </w:rPr>
        <w:t>In</w:t>
      </w:r>
      <w:r w:rsidRPr="00BB7351">
        <w:rPr>
          <w:rFonts w:ascii="Californian FB" w:hAnsi="Californian FB" w:cs="BerkeleyStd-Book"/>
          <w:sz w:val="24"/>
          <w:szCs w:val="24"/>
        </w:rPr>
        <w:t xml:space="preserve"> May 2016, the jury entered a verdict in favor of</w:t>
      </w:r>
      <w:r>
        <w:rPr>
          <w:rFonts w:ascii="Californian FB" w:hAnsi="Californian FB" w:cs="BerkeleyStd-Book"/>
          <w:sz w:val="24"/>
          <w:szCs w:val="24"/>
        </w:rPr>
        <w:t xml:space="preserve"> </w:t>
      </w:r>
      <w:r w:rsidRPr="00BB7351">
        <w:rPr>
          <w:rFonts w:ascii="Californian FB" w:hAnsi="Californian FB" w:cs="BerkeleyStd-Book"/>
          <w:sz w:val="24"/>
          <w:szCs w:val="24"/>
        </w:rPr>
        <w:t xml:space="preserve">Google. </w:t>
      </w:r>
      <w:r w:rsidRPr="00BB7351">
        <w:rPr>
          <w:rFonts w:ascii="Californian FB" w:hAnsi="Californian FB" w:cs="BerkeleyStd-BookItalic"/>
          <w:i/>
          <w:iCs/>
          <w:sz w:val="24"/>
          <w:szCs w:val="24"/>
        </w:rPr>
        <w:t xml:space="preserve">See </w:t>
      </w:r>
      <w:r w:rsidRPr="00BB7351">
        <w:rPr>
          <w:rFonts w:ascii="Californian FB" w:hAnsi="Californian FB" w:cs="BerkeleyStd-Book"/>
          <w:sz w:val="24"/>
          <w:szCs w:val="24"/>
        </w:rPr>
        <w:t>Oracle America, Inc. v. Google, Inc., No. C-10 03661, Docket No. 1982,</w:t>
      </w:r>
      <w:r>
        <w:rPr>
          <w:rFonts w:ascii="Californian FB" w:hAnsi="Californian FB" w:cs="BerkeleyStd-Book"/>
          <w:sz w:val="24"/>
          <w:szCs w:val="24"/>
        </w:rPr>
        <w:t xml:space="preserve"> </w:t>
      </w:r>
      <w:r w:rsidRPr="00BB7351">
        <w:rPr>
          <w:rFonts w:ascii="Californian FB" w:hAnsi="Californian FB" w:cs="BerkeleyStd-Book"/>
          <w:sz w:val="24"/>
          <w:szCs w:val="24"/>
        </w:rPr>
        <w:t xml:space="preserve">Special Verdict Form (C.D. Cal. May 26, 2016). </w:t>
      </w:r>
      <w:r>
        <w:rPr>
          <w:rFonts w:ascii="Californian FB" w:hAnsi="Californian FB" w:cs="BerkeleyStd-Book"/>
          <w:sz w:val="24"/>
          <w:szCs w:val="24"/>
        </w:rPr>
        <w:t xml:space="preserve">Oracle appealed to the Federal Circuit, which reversed the jury’s verdict, holding that Google’s use of portions of the Java API were not fair use. </w:t>
      </w:r>
      <w:r>
        <w:rPr>
          <w:rFonts w:ascii="Californian FB" w:hAnsi="Californian FB" w:cs="BerkeleyStd-Book"/>
          <w:i/>
          <w:sz w:val="24"/>
          <w:szCs w:val="24"/>
        </w:rPr>
        <w:t xml:space="preserve">See </w:t>
      </w:r>
      <w:hyperlink r:id="rId17" w:history="1">
        <w:r w:rsidRPr="001862CB">
          <w:rPr>
            <w:rStyle w:val="Hyperlink"/>
            <w:rFonts w:ascii="Californian FB" w:hAnsi="Californian FB" w:cs="BerkeleyStd-Book"/>
            <w:sz w:val="24"/>
            <w:szCs w:val="24"/>
          </w:rPr>
          <w:t>Oracle America, Inc. v. Google, LLC, 886 F3d 1179 (Fed. Cir. 2018)</w:t>
        </w:r>
      </w:hyperlink>
      <w:r>
        <w:rPr>
          <w:rFonts w:ascii="Californian FB" w:hAnsi="Californian FB" w:cs="BerkeleyStd-Book"/>
          <w:sz w:val="24"/>
          <w:szCs w:val="24"/>
        </w:rPr>
        <w:t xml:space="preserve">.  </w:t>
      </w:r>
      <w:r w:rsidR="007E5202">
        <w:rPr>
          <w:rFonts w:ascii="Californian FB" w:hAnsi="Californian FB" w:cs="BerkeleyStd-Book"/>
          <w:sz w:val="24"/>
          <w:szCs w:val="24"/>
        </w:rPr>
        <w:t xml:space="preserve">The Supreme Court then agreed to review the Federal Circuit’s decisions </w:t>
      </w:r>
      <w:r w:rsidR="000C4637">
        <w:rPr>
          <w:rFonts w:ascii="Californian FB" w:hAnsi="Californian FB" w:cs="BerkeleyStd-Book"/>
          <w:sz w:val="24"/>
          <w:szCs w:val="24"/>
        </w:rPr>
        <w:t xml:space="preserve">both </w:t>
      </w:r>
      <w:r w:rsidR="007E5202">
        <w:rPr>
          <w:rFonts w:ascii="Californian FB" w:hAnsi="Californian FB" w:cs="BerkeleyStd-Book"/>
          <w:sz w:val="24"/>
          <w:szCs w:val="24"/>
        </w:rPr>
        <w:t xml:space="preserve">on </w:t>
      </w:r>
      <w:r w:rsidR="000C4637">
        <w:rPr>
          <w:rFonts w:ascii="Californian FB" w:hAnsi="Californian FB" w:cs="BerkeleyStd-Book"/>
          <w:sz w:val="24"/>
          <w:szCs w:val="24"/>
        </w:rPr>
        <w:t xml:space="preserve">the </w:t>
      </w:r>
      <w:r w:rsidR="007E5202">
        <w:rPr>
          <w:rFonts w:ascii="Californian FB" w:hAnsi="Californian FB" w:cs="BerkeleyStd-Book"/>
          <w:sz w:val="24"/>
          <w:szCs w:val="24"/>
        </w:rPr>
        <w:t xml:space="preserve">copyrightability of the Java API and on whether Google’s use of a portion of it was a fair use.   In April 2021, it held that Google’s use of the Java API was a fair use.  </w:t>
      </w:r>
      <w:r w:rsidR="007E5202">
        <w:rPr>
          <w:rFonts w:ascii="Californian FB" w:hAnsi="Californian FB" w:cs="BerkeleyStd-Book"/>
          <w:i/>
          <w:iCs/>
          <w:sz w:val="24"/>
          <w:szCs w:val="24"/>
        </w:rPr>
        <w:t xml:space="preserve">See </w:t>
      </w:r>
      <w:r w:rsidR="007E5202">
        <w:rPr>
          <w:rFonts w:ascii="Californian FB" w:hAnsi="Californian FB" w:cs="BerkeleyStd-Book"/>
          <w:sz w:val="24"/>
          <w:szCs w:val="24"/>
        </w:rPr>
        <w:t xml:space="preserve">Google, LLC v. Oracle America, Inc., </w:t>
      </w:r>
      <w:r w:rsidR="007E5202" w:rsidRPr="007E5202">
        <w:rPr>
          <w:rFonts w:ascii="Californian FB" w:hAnsi="Californian FB" w:cs="BerkeleyStd-Book"/>
          <w:sz w:val="24"/>
          <w:szCs w:val="24"/>
        </w:rPr>
        <w:t xml:space="preserve">141 </w:t>
      </w:r>
      <w:proofErr w:type="spellStart"/>
      <w:r w:rsidR="007E5202" w:rsidRPr="007E5202">
        <w:rPr>
          <w:rFonts w:ascii="Californian FB" w:hAnsi="Californian FB" w:cs="BerkeleyStd-Book"/>
          <w:sz w:val="24"/>
          <w:szCs w:val="24"/>
        </w:rPr>
        <w:t>S.Ct</w:t>
      </w:r>
      <w:proofErr w:type="spellEnd"/>
      <w:r w:rsidR="007E5202" w:rsidRPr="007E5202">
        <w:rPr>
          <w:rFonts w:ascii="Californian FB" w:hAnsi="Californian FB" w:cs="BerkeleyStd-Book"/>
          <w:sz w:val="24"/>
          <w:szCs w:val="24"/>
        </w:rPr>
        <w:t>. 1183</w:t>
      </w:r>
      <w:r w:rsidR="007E5202">
        <w:rPr>
          <w:rFonts w:ascii="Californian FB" w:hAnsi="Californian FB" w:cs="BerkeleyStd-Book"/>
          <w:sz w:val="24"/>
          <w:szCs w:val="24"/>
        </w:rPr>
        <w:t xml:space="preserve"> (2021) (presented as a principal case below in Chapter 5).  The Court decided not to address the issue of whether the “declaring code” of the Java API was copyrightable, a decision heavily criticized by Justice Thomas in dissent.  </w:t>
      </w:r>
      <w:r w:rsidR="007E5202">
        <w:rPr>
          <w:rFonts w:ascii="Californian FB" w:hAnsi="Californian FB" w:cs="BerkeleyStd-Book"/>
          <w:i/>
          <w:iCs/>
          <w:sz w:val="24"/>
          <w:szCs w:val="24"/>
        </w:rPr>
        <w:t xml:space="preserve">See id. </w:t>
      </w:r>
      <w:r w:rsidR="007E5202">
        <w:rPr>
          <w:rFonts w:ascii="Californian FB" w:hAnsi="Californian FB" w:cs="BerkeleyStd-Book"/>
          <w:sz w:val="24"/>
          <w:szCs w:val="24"/>
        </w:rPr>
        <w:t xml:space="preserve">at </w:t>
      </w:r>
      <w:r w:rsidR="000C4637">
        <w:rPr>
          <w:rFonts w:ascii="Californian FB" w:hAnsi="Californian FB" w:cs="BerkeleyStd-Book"/>
          <w:sz w:val="24"/>
          <w:szCs w:val="24"/>
        </w:rPr>
        <w:t xml:space="preserve">1211 </w:t>
      </w:r>
      <w:r w:rsidR="007E5202">
        <w:rPr>
          <w:rFonts w:ascii="Californian FB" w:hAnsi="Californian FB" w:cs="BerkeleyStd-Book"/>
          <w:sz w:val="24"/>
          <w:szCs w:val="24"/>
        </w:rPr>
        <w:t>(Thomas, J., dissenting).</w:t>
      </w:r>
    </w:p>
    <w:p w14:paraId="673F78A3" w14:textId="0A77330C" w:rsidR="00784649" w:rsidRDefault="00DA291A" w:rsidP="00DA291A">
      <w:pPr>
        <w:shd w:val="clear" w:color="auto" w:fill="FFFFFF"/>
        <w:rPr>
          <w:rFonts w:ascii="Californian FB" w:hAnsi="Californian FB" w:cs="BerkeleyStd-Book"/>
          <w:sz w:val="28"/>
          <w:szCs w:val="28"/>
        </w:rPr>
      </w:pPr>
      <w:r>
        <w:rPr>
          <w:rFonts w:ascii="Californian FB" w:hAnsi="Californian FB" w:cs="BerkeleyStd-Book"/>
          <w:sz w:val="28"/>
          <w:szCs w:val="28"/>
        </w:rPr>
        <w:t>6</w:t>
      </w:r>
      <w:r w:rsidRPr="008A645C">
        <w:rPr>
          <w:rFonts w:ascii="Californian FB" w:hAnsi="Californian FB" w:cs="BerkeleyStd-Book"/>
          <w:sz w:val="28"/>
          <w:szCs w:val="28"/>
        </w:rPr>
        <w:t xml:space="preserve">. </w:t>
      </w:r>
      <w:r>
        <w:rPr>
          <w:rFonts w:ascii="Californian FB" w:hAnsi="Californian FB" w:cs="BerkeleyStd-Book"/>
          <w:sz w:val="28"/>
          <w:szCs w:val="28"/>
        </w:rPr>
        <w:t>Useful Articles</w:t>
      </w:r>
    </w:p>
    <w:p w14:paraId="70E8DCC1" w14:textId="61C52646" w:rsidR="00DA291A" w:rsidRDefault="00DA291A" w:rsidP="00DA291A">
      <w:pPr>
        <w:rPr>
          <w:rFonts w:ascii="Californian FB" w:hAnsi="Californian FB"/>
          <w:sz w:val="28"/>
          <w:szCs w:val="28"/>
        </w:rPr>
      </w:pPr>
      <w:r w:rsidRPr="00DA291A">
        <w:rPr>
          <w:rFonts w:ascii="Californian FB" w:hAnsi="Californian FB"/>
          <w:sz w:val="28"/>
          <w:szCs w:val="28"/>
        </w:rPr>
        <w:t>Page 218 – Insert the following new Note after Note (4)</w:t>
      </w:r>
      <w:r>
        <w:rPr>
          <w:rFonts w:ascii="Californian FB" w:hAnsi="Californian FB"/>
          <w:sz w:val="28"/>
          <w:szCs w:val="28"/>
        </w:rPr>
        <w:t>:</w:t>
      </w:r>
    </w:p>
    <w:p w14:paraId="2F3155B1" w14:textId="77777777" w:rsidR="00DA291A" w:rsidRPr="00DA291A" w:rsidRDefault="00DA291A" w:rsidP="00DA291A">
      <w:pPr>
        <w:ind w:left="360" w:hanging="360"/>
        <w:jc w:val="both"/>
        <w:rPr>
          <w:rFonts w:ascii="Californian FB" w:hAnsi="Californian FB"/>
          <w:sz w:val="24"/>
          <w:szCs w:val="24"/>
        </w:rPr>
      </w:pPr>
      <w:r w:rsidRPr="00DA291A">
        <w:rPr>
          <w:rFonts w:ascii="Californian FB" w:hAnsi="Californian FB"/>
          <w:b/>
          <w:sz w:val="24"/>
          <w:szCs w:val="24"/>
        </w:rPr>
        <w:t xml:space="preserve">4A.   Early Lower Court Applications.  </w:t>
      </w:r>
      <w:r w:rsidRPr="00DA291A">
        <w:rPr>
          <w:rFonts w:ascii="Californian FB" w:hAnsi="Californian FB"/>
          <w:sz w:val="24"/>
          <w:szCs w:val="24"/>
        </w:rPr>
        <w:t xml:space="preserve">Two recent court of appeals decisions that have had to apply </w:t>
      </w:r>
      <w:r w:rsidRPr="00DA291A">
        <w:rPr>
          <w:rFonts w:ascii="Californian FB" w:hAnsi="Californian FB"/>
          <w:i/>
          <w:sz w:val="24"/>
          <w:szCs w:val="24"/>
        </w:rPr>
        <w:t>Star Athletica</w:t>
      </w:r>
      <w:r w:rsidRPr="00DA291A">
        <w:rPr>
          <w:rFonts w:ascii="Californian FB" w:hAnsi="Californian FB"/>
          <w:sz w:val="24"/>
          <w:szCs w:val="24"/>
        </w:rPr>
        <w:t xml:space="preserve">—one dealing with a chalk holder and the other with a banana costume—may shed a bit </w:t>
      </w:r>
      <w:proofErr w:type="gramStart"/>
      <w:r w:rsidRPr="00DA291A">
        <w:rPr>
          <w:rFonts w:ascii="Californian FB" w:hAnsi="Californian FB"/>
          <w:sz w:val="24"/>
          <w:szCs w:val="24"/>
        </w:rPr>
        <w:t>more light</w:t>
      </w:r>
      <w:proofErr w:type="gramEnd"/>
      <w:r w:rsidRPr="00DA291A">
        <w:rPr>
          <w:rFonts w:ascii="Californian FB" w:hAnsi="Californian FB"/>
          <w:sz w:val="24"/>
          <w:szCs w:val="24"/>
        </w:rPr>
        <w:t xml:space="preserve"> on the Supreme Court’s test, though we fear not enough.</w:t>
      </w:r>
    </w:p>
    <w:p w14:paraId="3140003D" w14:textId="214E45F2" w:rsidR="00DA291A" w:rsidRPr="00DA291A" w:rsidRDefault="00DA291A" w:rsidP="00DA291A">
      <w:pPr>
        <w:ind w:left="360" w:hanging="360"/>
        <w:jc w:val="both"/>
        <w:rPr>
          <w:rFonts w:ascii="Californian FB" w:hAnsi="Californian FB"/>
          <w:sz w:val="24"/>
          <w:szCs w:val="24"/>
        </w:rPr>
      </w:pPr>
      <w:r w:rsidRPr="00DA291A">
        <w:rPr>
          <w:rFonts w:ascii="Californian FB" w:hAnsi="Californian FB"/>
          <w:sz w:val="24"/>
          <w:szCs w:val="24"/>
        </w:rPr>
        <w:tab/>
      </w:r>
      <w:r>
        <w:rPr>
          <w:rFonts w:ascii="Californian FB" w:hAnsi="Californian FB"/>
          <w:sz w:val="24"/>
          <w:szCs w:val="24"/>
        </w:rPr>
        <w:tab/>
      </w:r>
      <w:proofErr w:type="gramStart"/>
      <w:r w:rsidR="00C80BAB">
        <w:rPr>
          <w:rFonts w:ascii="Californian FB" w:hAnsi="Californian FB"/>
          <w:sz w:val="24"/>
          <w:szCs w:val="24"/>
        </w:rPr>
        <w:t xml:space="preserve">In </w:t>
      </w:r>
      <w:r w:rsidRPr="00DA291A">
        <w:rPr>
          <w:rFonts w:ascii="Californian FB" w:hAnsi="Californian FB"/>
          <w:sz w:val="24"/>
          <w:szCs w:val="24"/>
        </w:rPr>
        <w:t xml:space="preserve"> </w:t>
      </w:r>
      <w:r w:rsidRPr="00DA291A">
        <w:rPr>
          <w:rFonts w:ascii="Californian FB" w:hAnsi="Californian FB"/>
          <w:i/>
          <w:sz w:val="24"/>
          <w:szCs w:val="24"/>
        </w:rPr>
        <w:t>Lanard</w:t>
      </w:r>
      <w:proofErr w:type="gramEnd"/>
      <w:r w:rsidRPr="00DA291A">
        <w:rPr>
          <w:rFonts w:ascii="Californian FB" w:hAnsi="Californian FB"/>
          <w:i/>
          <w:sz w:val="24"/>
          <w:szCs w:val="24"/>
        </w:rPr>
        <w:t xml:space="preserve"> Toys Ltd. v. Dolgencorp LLC, </w:t>
      </w:r>
      <w:r w:rsidRPr="00DA291A">
        <w:rPr>
          <w:rFonts w:ascii="Californian FB" w:hAnsi="Californian FB"/>
          <w:sz w:val="24"/>
          <w:szCs w:val="24"/>
        </w:rPr>
        <w:t>958 F.3d 1337 (Fed. Cir. 2020) plaintiff Lanard sold a chalk holder in the shape of a conventional yellow No.2 pencil.  It claimed protection for this device under all three branches of intellectual property law—it held a design patent, it claimed trade dress protection under the law of trademarks, and most relevant for this discussion, it held a copyright registration as well.  When the defendants begin selling copycat versions of the chalk holder, plaintiff sued under multiple theories, including copyright infringement.  Here are the products of the two parties as reproduced in the court’s opinion.</w:t>
      </w:r>
    </w:p>
    <w:p w14:paraId="629E9227" w14:textId="77777777" w:rsidR="00DA291A" w:rsidRPr="00DA291A" w:rsidRDefault="00DA291A" w:rsidP="00DA291A">
      <w:pPr>
        <w:ind w:left="360" w:hanging="360"/>
        <w:rPr>
          <w:rFonts w:ascii="Californian FB" w:hAnsi="Californian FB"/>
          <w:sz w:val="24"/>
          <w:szCs w:val="24"/>
        </w:rPr>
      </w:pPr>
    </w:p>
    <w:p w14:paraId="7859CB84" w14:textId="0161D335" w:rsidR="00DA291A" w:rsidRPr="00DA291A" w:rsidRDefault="00DA291A" w:rsidP="00DA291A">
      <w:pPr>
        <w:ind w:left="360" w:hanging="360"/>
        <w:rPr>
          <w:rFonts w:ascii="Californian FB" w:hAnsi="Californian FB"/>
          <w:sz w:val="24"/>
          <w:szCs w:val="24"/>
        </w:rPr>
      </w:pPr>
      <w:r w:rsidRPr="00DA291A">
        <w:rPr>
          <w:rFonts w:ascii="Californian FB" w:hAnsi="Californian FB"/>
          <w:noProof/>
          <w:sz w:val="24"/>
          <w:szCs w:val="24"/>
        </w:rPr>
        <w:lastRenderedPageBreak/>
        <w:drawing>
          <wp:anchor distT="0" distB="0" distL="114300" distR="114300" simplePos="0" relativeHeight="251697152" behindDoc="0" locked="0" layoutInCell="1" allowOverlap="1" wp14:anchorId="0F824D4B" wp14:editId="404C3A53">
            <wp:simplePos x="0" y="0"/>
            <wp:positionH relativeFrom="column">
              <wp:posOffset>1623258</wp:posOffset>
            </wp:positionH>
            <wp:positionV relativeFrom="paragraph">
              <wp:posOffset>37704</wp:posOffset>
            </wp:positionV>
            <wp:extent cx="3032760" cy="2284730"/>
            <wp:effectExtent l="228600" t="228600" r="224790" b="22987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032760" cy="22847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7E16FA1" w14:textId="3C1897A7" w:rsidR="00DA291A" w:rsidRPr="00DA291A" w:rsidRDefault="00DA291A" w:rsidP="00DA291A">
      <w:pPr>
        <w:ind w:left="360" w:hanging="360"/>
        <w:rPr>
          <w:rFonts w:ascii="Californian FB" w:hAnsi="Californian FB"/>
          <w:sz w:val="24"/>
          <w:szCs w:val="24"/>
        </w:rPr>
      </w:pPr>
    </w:p>
    <w:p w14:paraId="0E8443E4" w14:textId="16825985" w:rsidR="00DA291A" w:rsidRPr="00DA291A" w:rsidRDefault="00DA291A" w:rsidP="00DA291A">
      <w:pPr>
        <w:ind w:left="360" w:hanging="360"/>
        <w:rPr>
          <w:rFonts w:ascii="Californian FB" w:hAnsi="Californian FB"/>
          <w:sz w:val="24"/>
          <w:szCs w:val="24"/>
        </w:rPr>
      </w:pPr>
    </w:p>
    <w:p w14:paraId="032D317D" w14:textId="77777777" w:rsidR="00DA291A" w:rsidRPr="00DA291A" w:rsidRDefault="00DA291A" w:rsidP="00DA291A">
      <w:pPr>
        <w:ind w:left="360" w:hanging="360"/>
        <w:rPr>
          <w:rFonts w:ascii="Californian FB" w:hAnsi="Californian FB"/>
          <w:sz w:val="24"/>
          <w:szCs w:val="24"/>
        </w:rPr>
      </w:pPr>
    </w:p>
    <w:p w14:paraId="77D0299A" w14:textId="37DE96A5" w:rsidR="00DA291A" w:rsidRPr="00DA291A" w:rsidRDefault="00DA291A" w:rsidP="00DA291A">
      <w:pPr>
        <w:ind w:left="360" w:hanging="360"/>
        <w:rPr>
          <w:rFonts w:ascii="Californian FB" w:hAnsi="Californian FB"/>
          <w:sz w:val="24"/>
          <w:szCs w:val="24"/>
        </w:rPr>
      </w:pPr>
    </w:p>
    <w:p w14:paraId="07D8E4B3" w14:textId="42E79EE5" w:rsidR="00DA291A" w:rsidRPr="00DA291A" w:rsidRDefault="00DA291A" w:rsidP="00DA291A">
      <w:pPr>
        <w:ind w:left="360" w:hanging="360"/>
        <w:rPr>
          <w:rFonts w:ascii="Californian FB" w:hAnsi="Californian FB"/>
          <w:sz w:val="24"/>
          <w:szCs w:val="24"/>
        </w:rPr>
      </w:pPr>
    </w:p>
    <w:p w14:paraId="26CA52DD" w14:textId="77777777" w:rsidR="00DA291A" w:rsidRPr="00DA291A" w:rsidRDefault="00DA291A" w:rsidP="00DA291A">
      <w:pPr>
        <w:ind w:left="360" w:hanging="360"/>
        <w:rPr>
          <w:rFonts w:ascii="Californian FB" w:hAnsi="Californian FB"/>
          <w:sz w:val="24"/>
          <w:szCs w:val="24"/>
        </w:rPr>
      </w:pPr>
    </w:p>
    <w:p w14:paraId="3AD9A5BA" w14:textId="3BF2AD3B" w:rsidR="00DA291A" w:rsidRPr="00DA291A" w:rsidRDefault="00DA291A" w:rsidP="00DA291A">
      <w:pPr>
        <w:ind w:left="360" w:hanging="360"/>
        <w:rPr>
          <w:rFonts w:ascii="Californian FB" w:hAnsi="Californian FB"/>
          <w:sz w:val="24"/>
          <w:szCs w:val="24"/>
        </w:rPr>
      </w:pPr>
    </w:p>
    <w:p w14:paraId="4AB7A850" w14:textId="0A033F8D" w:rsidR="00DA291A" w:rsidRPr="00DA291A" w:rsidRDefault="00DA291A" w:rsidP="00DA291A">
      <w:pPr>
        <w:ind w:left="360" w:hanging="360"/>
        <w:rPr>
          <w:rFonts w:ascii="Californian FB" w:hAnsi="Californian FB"/>
          <w:sz w:val="24"/>
          <w:szCs w:val="24"/>
        </w:rPr>
      </w:pPr>
    </w:p>
    <w:p w14:paraId="02C0D371" w14:textId="21387476" w:rsidR="00DA291A" w:rsidRPr="00DA291A" w:rsidRDefault="00DA291A" w:rsidP="00DA291A">
      <w:pPr>
        <w:ind w:left="360" w:hanging="360"/>
        <w:rPr>
          <w:rFonts w:ascii="Californian FB" w:hAnsi="Californian FB"/>
          <w:sz w:val="24"/>
          <w:szCs w:val="24"/>
        </w:rPr>
      </w:pPr>
    </w:p>
    <w:p w14:paraId="1FD5C110" w14:textId="633E53FD" w:rsidR="00DA291A" w:rsidRPr="00DA291A" w:rsidRDefault="00DA291A" w:rsidP="00643152">
      <w:pPr>
        <w:ind w:left="360" w:hanging="360"/>
        <w:jc w:val="both"/>
        <w:rPr>
          <w:rFonts w:ascii="Californian FB" w:hAnsi="Californian FB"/>
          <w:sz w:val="24"/>
          <w:szCs w:val="24"/>
        </w:rPr>
      </w:pPr>
      <w:r w:rsidRPr="00DA291A">
        <w:rPr>
          <w:rFonts w:ascii="Californian FB" w:hAnsi="Californian FB"/>
          <w:sz w:val="24"/>
          <w:szCs w:val="24"/>
        </w:rPr>
        <w:tab/>
      </w:r>
      <w:r>
        <w:rPr>
          <w:rFonts w:ascii="Californian FB" w:hAnsi="Californian FB"/>
          <w:sz w:val="24"/>
          <w:szCs w:val="24"/>
        </w:rPr>
        <w:tab/>
      </w:r>
      <w:r w:rsidRPr="00DA291A">
        <w:rPr>
          <w:rFonts w:ascii="Californian FB" w:hAnsi="Californian FB"/>
          <w:sz w:val="24"/>
          <w:szCs w:val="24"/>
        </w:rPr>
        <w:t xml:space="preserve">The plaintiff argued that the product was an exaggerated “cartoonish” pencil which could be imagined as a sculptural work, independent of its function as a chalk holder.  However, the court noted that because the plaintiff sought copyright protection for the overall design of the entire object (for the “dimensions and shape of the useful article itself”), and not for some separable subpart (like the chevrons on the uniforms in </w:t>
      </w:r>
      <w:r w:rsidRPr="00DA291A">
        <w:rPr>
          <w:rFonts w:ascii="Californian FB" w:hAnsi="Californian FB"/>
          <w:i/>
          <w:sz w:val="24"/>
          <w:szCs w:val="24"/>
        </w:rPr>
        <w:t>Star Athletica</w:t>
      </w:r>
      <w:r w:rsidRPr="00DA291A">
        <w:rPr>
          <w:rFonts w:ascii="Californian FB" w:hAnsi="Californian FB"/>
          <w:sz w:val="24"/>
          <w:szCs w:val="24"/>
        </w:rPr>
        <w:t>), it could not prevail.  The court cited as a second ground for its decision the fact that plaintiff was seeking protection for “any and all expressions” of a pencil-shaped chalk holder, and to go that far would be to protect an abstract idea, rather than expression.</w:t>
      </w:r>
    </w:p>
    <w:p w14:paraId="7E24FDD0" w14:textId="0B37347F" w:rsidR="00DA291A" w:rsidRPr="00DA291A" w:rsidRDefault="00A9227A" w:rsidP="00643152">
      <w:pPr>
        <w:ind w:left="360" w:hanging="360"/>
        <w:jc w:val="both"/>
        <w:rPr>
          <w:rFonts w:ascii="Californian FB" w:hAnsi="Californian FB"/>
          <w:sz w:val="24"/>
          <w:szCs w:val="24"/>
        </w:rPr>
      </w:pPr>
      <w:r w:rsidRPr="00DA291A">
        <w:rPr>
          <w:rFonts w:ascii="Californian FB" w:hAnsi="Californian FB"/>
          <w:noProof/>
          <w:sz w:val="24"/>
          <w:szCs w:val="24"/>
        </w:rPr>
        <w:drawing>
          <wp:anchor distT="0" distB="0" distL="114300" distR="114300" simplePos="0" relativeHeight="251698176" behindDoc="0" locked="0" layoutInCell="1" allowOverlap="1" wp14:anchorId="56655010" wp14:editId="298BC94D">
            <wp:simplePos x="0" y="0"/>
            <wp:positionH relativeFrom="column">
              <wp:posOffset>656590</wp:posOffset>
            </wp:positionH>
            <wp:positionV relativeFrom="paragraph">
              <wp:posOffset>93980</wp:posOffset>
            </wp:positionV>
            <wp:extent cx="4676140" cy="2690495"/>
            <wp:effectExtent l="76200" t="76200" r="124460" b="128905"/>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screen">
                      <a:extLst>
                        <a:ext uri="{28A0092B-C50C-407E-A947-70E740481C1C}">
                          <a14:useLocalDpi xmlns:a14="http://schemas.microsoft.com/office/drawing/2010/main"/>
                        </a:ext>
                      </a:extLst>
                    </a:blip>
                    <a:srcRect l="29378" t="34377" r="32321" b="26439"/>
                    <a:stretch/>
                  </pic:blipFill>
                  <pic:spPr>
                    <a:xfrm>
                      <a:off x="0" y="0"/>
                      <a:ext cx="4676140" cy="2690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291A" w:rsidRPr="00DA291A">
        <w:rPr>
          <w:rFonts w:ascii="Californian FB" w:hAnsi="Californian FB"/>
          <w:sz w:val="24"/>
          <w:szCs w:val="24"/>
        </w:rPr>
        <w:tab/>
      </w:r>
      <w:r w:rsidR="00DA291A">
        <w:rPr>
          <w:rFonts w:ascii="Californian FB" w:hAnsi="Californian FB"/>
          <w:sz w:val="24"/>
          <w:szCs w:val="24"/>
        </w:rPr>
        <w:tab/>
      </w:r>
      <w:r w:rsidR="00DA291A" w:rsidRPr="00DA291A">
        <w:rPr>
          <w:rFonts w:ascii="Californian FB" w:hAnsi="Californian FB"/>
          <w:sz w:val="24"/>
          <w:szCs w:val="24"/>
        </w:rPr>
        <w:t xml:space="preserve">The Third Circuit undertook a considerably more detailed analysis in </w:t>
      </w:r>
      <w:proofErr w:type="spellStart"/>
      <w:r w:rsidR="00DA291A" w:rsidRPr="00DA291A">
        <w:rPr>
          <w:rFonts w:ascii="Californian FB" w:hAnsi="Californian FB"/>
          <w:i/>
          <w:sz w:val="24"/>
          <w:szCs w:val="24"/>
        </w:rPr>
        <w:t>Silvertop</w:t>
      </w:r>
      <w:proofErr w:type="spellEnd"/>
      <w:r w:rsidR="00DA291A" w:rsidRPr="00DA291A">
        <w:rPr>
          <w:rFonts w:ascii="Californian FB" w:hAnsi="Californian FB"/>
          <w:i/>
          <w:sz w:val="24"/>
          <w:szCs w:val="24"/>
        </w:rPr>
        <w:t xml:space="preserve"> Asso</w:t>
      </w:r>
      <w:r w:rsidR="004314D1">
        <w:rPr>
          <w:rFonts w:ascii="Californian FB" w:hAnsi="Californian FB"/>
          <w:i/>
          <w:sz w:val="24"/>
          <w:szCs w:val="24"/>
        </w:rPr>
        <w:t>c</w:t>
      </w:r>
      <w:r w:rsidR="00DA291A" w:rsidRPr="00DA291A">
        <w:rPr>
          <w:rFonts w:ascii="Californian FB" w:hAnsi="Californian FB"/>
          <w:i/>
          <w:sz w:val="24"/>
          <w:szCs w:val="24"/>
        </w:rPr>
        <w:t>., Inc. v. Kangaroo Mfg. Inc.</w:t>
      </w:r>
      <w:r w:rsidR="00DA291A" w:rsidRPr="00DA291A">
        <w:rPr>
          <w:rFonts w:ascii="Californian FB" w:hAnsi="Californian FB"/>
          <w:sz w:val="24"/>
          <w:szCs w:val="24"/>
        </w:rPr>
        <w:t xml:space="preserve">, 931 F.3d 215 (3d Cir. 2019) in determining that plaintiff held a valid copyright in a full body banana costume.  </w:t>
      </w:r>
      <w:r w:rsidR="004314D1">
        <w:rPr>
          <w:rFonts w:ascii="Californian FB" w:hAnsi="Californian FB"/>
          <w:sz w:val="24"/>
          <w:szCs w:val="24"/>
        </w:rPr>
        <w:t xml:space="preserve">In the </w:t>
      </w:r>
      <w:r w:rsidR="00643152">
        <w:rPr>
          <w:rFonts w:ascii="Californian FB" w:hAnsi="Californian FB"/>
          <w:sz w:val="24"/>
          <w:szCs w:val="24"/>
        </w:rPr>
        <w:t xml:space="preserve">illustration </w:t>
      </w:r>
      <w:r>
        <w:rPr>
          <w:rFonts w:ascii="Californian FB" w:hAnsi="Californian FB"/>
          <w:sz w:val="24"/>
          <w:szCs w:val="24"/>
        </w:rPr>
        <w:t>above</w:t>
      </w:r>
      <w:r w:rsidR="00643152">
        <w:rPr>
          <w:rFonts w:ascii="Californian FB" w:hAnsi="Californian FB"/>
          <w:sz w:val="24"/>
          <w:szCs w:val="24"/>
        </w:rPr>
        <w:t>, the plaintiff’s costume is on the left, and the defendant’s two costumes are in the center and on the right:</w:t>
      </w:r>
    </w:p>
    <w:p w14:paraId="5B8291DB" w14:textId="42FAAD5F" w:rsidR="00DA291A" w:rsidRPr="00DA291A" w:rsidRDefault="00DA291A" w:rsidP="00643152">
      <w:pPr>
        <w:ind w:left="360" w:firstLine="360"/>
        <w:jc w:val="both"/>
        <w:rPr>
          <w:rFonts w:ascii="Californian FB" w:hAnsi="Californian FB"/>
          <w:sz w:val="24"/>
          <w:szCs w:val="24"/>
        </w:rPr>
      </w:pPr>
      <w:r w:rsidRPr="00DA291A">
        <w:rPr>
          <w:rFonts w:ascii="Californian FB" w:hAnsi="Californian FB"/>
          <w:sz w:val="24"/>
          <w:szCs w:val="24"/>
        </w:rPr>
        <w:lastRenderedPageBreak/>
        <w:t xml:space="preserve">First, the court found that the costume did </w:t>
      </w:r>
      <w:r w:rsidR="00C80BAB">
        <w:rPr>
          <w:rFonts w:ascii="Californian FB" w:hAnsi="Californian FB"/>
          <w:sz w:val="24"/>
          <w:szCs w:val="24"/>
        </w:rPr>
        <w:t xml:space="preserve">contain </w:t>
      </w:r>
      <w:r w:rsidRPr="00DA291A">
        <w:rPr>
          <w:rFonts w:ascii="Californian FB" w:hAnsi="Californian FB"/>
          <w:sz w:val="24"/>
          <w:szCs w:val="24"/>
        </w:rPr>
        <w:t>sculptural elements that were separable from the overall useful article.  As it explained:</w:t>
      </w:r>
    </w:p>
    <w:p w14:paraId="2F418E42" w14:textId="0A1C9B38" w:rsidR="00DA291A" w:rsidRPr="00DA291A" w:rsidRDefault="00DA291A" w:rsidP="00643152">
      <w:pPr>
        <w:ind w:left="720" w:right="360" w:firstLine="360"/>
        <w:jc w:val="both"/>
        <w:rPr>
          <w:rFonts w:ascii="Californian FB" w:hAnsi="Californian FB"/>
          <w:sz w:val="24"/>
          <w:szCs w:val="24"/>
        </w:rPr>
      </w:pPr>
      <w:r w:rsidRPr="00DA291A">
        <w:rPr>
          <w:rFonts w:ascii="Californian FB" w:hAnsi="Californian FB"/>
          <w:sz w:val="24"/>
          <w:szCs w:val="24"/>
        </w:rPr>
        <w:t>Those sculptural features include the banana’s combination of colors, lines, shape, and length. They do not include the cutout holes for the wearer’s arms, legs, and face; the holes’ dimensions; or the holes’ locations on the costume, because those features are utilitarian</w:t>
      </w:r>
      <w:bookmarkStart w:id="0" w:name="co_fnRef_B00062048818757_ID0E1HAI_1"/>
      <w:bookmarkEnd w:id="0"/>
      <w:r w:rsidRPr="00DA291A">
        <w:rPr>
          <w:rFonts w:ascii="Californian FB" w:hAnsi="Californian FB"/>
          <w:sz w:val="24"/>
          <w:szCs w:val="24"/>
        </w:rPr>
        <w:t>. Although more difficult to imagine separately from the costume’s “non-appearance related utility” (</w:t>
      </w:r>
      <w:r w:rsidR="00643152">
        <w:rPr>
          <w:rFonts w:ascii="Californian FB" w:hAnsi="Californian FB"/>
          <w:sz w:val="24"/>
          <w:szCs w:val="24"/>
        </w:rPr>
        <w:t>i.e.</w:t>
      </w:r>
      <w:r w:rsidRPr="00DA291A">
        <w:rPr>
          <w:rFonts w:ascii="Californian FB" w:hAnsi="Californian FB"/>
          <w:sz w:val="24"/>
          <w:szCs w:val="24"/>
        </w:rPr>
        <w:t>, wearability) than many works, . . .</w:t>
      </w:r>
      <w:r w:rsidR="00643152">
        <w:rPr>
          <w:rFonts w:ascii="Californian FB" w:hAnsi="Californian FB"/>
          <w:sz w:val="24"/>
          <w:szCs w:val="24"/>
        </w:rPr>
        <w:t xml:space="preserve"> </w:t>
      </w:r>
      <w:r w:rsidRPr="00DA291A">
        <w:rPr>
          <w:rFonts w:ascii="Californian FB" w:hAnsi="Californian FB"/>
          <w:sz w:val="24"/>
          <w:szCs w:val="24"/>
        </w:rPr>
        <w:t>one can still imagine the banana apart from the costume as an original sculpture. That sculpted banana, once split from the costume, is not intrinsically utilitarian and does not merely replicate the costume, so it may be copyrighted.</w:t>
      </w:r>
    </w:p>
    <w:p w14:paraId="41FCAAEE" w14:textId="77777777" w:rsidR="00DA291A" w:rsidRPr="00DA291A" w:rsidRDefault="00DA291A" w:rsidP="00643152">
      <w:pPr>
        <w:ind w:left="360" w:firstLine="360"/>
        <w:jc w:val="both"/>
        <w:rPr>
          <w:rFonts w:ascii="Californian FB" w:hAnsi="Californian FB"/>
          <w:sz w:val="24"/>
          <w:szCs w:val="24"/>
        </w:rPr>
      </w:pPr>
      <w:r w:rsidRPr="00DA291A">
        <w:rPr>
          <w:rFonts w:ascii="Californian FB" w:hAnsi="Californian FB"/>
          <w:sz w:val="24"/>
          <w:szCs w:val="24"/>
        </w:rPr>
        <w:t>Second, the court rebuffed defendant’s claim that the depiction of a banana, even taken as a whole, lacked originality, because it concluded that this particular vision of a banana met the very low bar of creativity set by the case law.  Along the way the court rejected defendant’s invitation to consider each element separately for both utility and originality, stressing that the focus must remain on the combination of all the elements taken as a whole.</w:t>
      </w:r>
    </w:p>
    <w:p w14:paraId="5D4DDF74" w14:textId="0C04F015" w:rsidR="00DA291A" w:rsidRPr="00DA291A" w:rsidRDefault="00DA291A" w:rsidP="00643152">
      <w:pPr>
        <w:ind w:left="360" w:hanging="360"/>
        <w:jc w:val="both"/>
        <w:rPr>
          <w:rFonts w:ascii="Californian FB" w:hAnsi="Californian FB"/>
          <w:sz w:val="24"/>
          <w:szCs w:val="24"/>
        </w:rPr>
      </w:pPr>
      <w:r w:rsidRPr="00DA291A">
        <w:rPr>
          <w:rFonts w:ascii="Californian FB" w:hAnsi="Californian FB"/>
          <w:sz w:val="24"/>
          <w:szCs w:val="24"/>
        </w:rPr>
        <w:tab/>
      </w:r>
      <w:r>
        <w:rPr>
          <w:rFonts w:ascii="Californian FB" w:hAnsi="Californian FB"/>
          <w:sz w:val="24"/>
          <w:szCs w:val="24"/>
        </w:rPr>
        <w:tab/>
      </w:r>
      <w:r w:rsidRPr="00DA291A">
        <w:rPr>
          <w:rFonts w:ascii="Californian FB" w:hAnsi="Californian FB"/>
          <w:sz w:val="24"/>
          <w:szCs w:val="24"/>
        </w:rPr>
        <w:t xml:space="preserve">Do you find these cases reconcilable?  If the look of the costume was “separable” because it could be imagined without the arm and head holes, why wasn’t the look of the chalk holder similarly separable because it could be imagined separate from the hole from which the chalk protrudes?  Do you think the depiction of the banana in the costume is more original than the depiction of the pencil embodied in the chalk holder?  Regarding that last question, try searching for “banana costume” online to get a sense of the different appearance of such costumes.  </w:t>
      </w:r>
    </w:p>
    <w:p w14:paraId="50364D77" w14:textId="77777777" w:rsidR="009D3C36" w:rsidRDefault="009D3C36" w:rsidP="00784649">
      <w:pPr>
        <w:shd w:val="clear" w:color="auto" w:fill="FFFFFF"/>
        <w:rPr>
          <w:rFonts w:ascii="Californian FB" w:hAnsi="Californian FB" w:cs="UniversLTStd-Cn-SC700"/>
          <w:b/>
          <w:sz w:val="28"/>
          <w:szCs w:val="28"/>
        </w:rPr>
      </w:pPr>
    </w:p>
    <w:p w14:paraId="376297A7" w14:textId="709CF37F" w:rsidR="00784649" w:rsidRPr="008A645C" w:rsidRDefault="00784649" w:rsidP="00784649">
      <w:pPr>
        <w:shd w:val="clear" w:color="auto" w:fill="FFFFFF"/>
        <w:rPr>
          <w:rFonts w:ascii="Californian FB" w:hAnsi="Californian FB" w:cs="MinionPro-It"/>
          <w:b/>
          <w:iCs/>
          <w:sz w:val="28"/>
          <w:szCs w:val="28"/>
        </w:rPr>
      </w:pPr>
      <w:r w:rsidRPr="008A645C">
        <w:rPr>
          <w:rFonts w:ascii="Californian FB" w:hAnsi="Californian FB" w:cs="UniversLTStd-Cn-SC700"/>
          <w:b/>
          <w:sz w:val="28"/>
          <w:szCs w:val="28"/>
        </w:rPr>
        <w:t xml:space="preserve">Chapter </w:t>
      </w:r>
      <w:r>
        <w:rPr>
          <w:rFonts w:ascii="Californian FB" w:hAnsi="Californian FB" w:cs="UniversLTStd-Cn-SC700"/>
          <w:b/>
          <w:sz w:val="28"/>
          <w:szCs w:val="28"/>
        </w:rPr>
        <w:t>4</w:t>
      </w:r>
      <w:r w:rsidRPr="008A645C">
        <w:rPr>
          <w:rFonts w:ascii="Californian FB" w:hAnsi="Californian FB" w:cs="UniversLTStd-Cn-SC700"/>
          <w:b/>
          <w:sz w:val="28"/>
          <w:szCs w:val="28"/>
        </w:rPr>
        <w:t xml:space="preserve">: </w:t>
      </w:r>
      <w:r>
        <w:rPr>
          <w:rFonts w:ascii="Californian FB" w:hAnsi="Californian FB" w:cs="MinionPro-It"/>
          <w:b/>
          <w:i/>
          <w:iCs/>
          <w:sz w:val="28"/>
          <w:szCs w:val="28"/>
        </w:rPr>
        <w:t>Proving Infringement of the Reproduction Right</w:t>
      </w:r>
    </w:p>
    <w:p w14:paraId="04A37206" w14:textId="5F24644E" w:rsidR="0056746C" w:rsidRDefault="0056746C" w:rsidP="00784649">
      <w:pPr>
        <w:jc w:val="both"/>
        <w:rPr>
          <w:rFonts w:ascii="Californian FB" w:hAnsi="Californian FB"/>
          <w:b/>
          <w:bCs/>
          <w:sz w:val="28"/>
          <w:szCs w:val="28"/>
        </w:rPr>
      </w:pPr>
      <w:r>
        <w:rPr>
          <w:rFonts w:ascii="Californian FB" w:hAnsi="Californian FB"/>
          <w:b/>
          <w:bCs/>
          <w:sz w:val="28"/>
          <w:szCs w:val="28"/>
        </w:rPr>
        <w:t xml:space="preserve">B. </w:t>
      </w:r>
      <w:r w:rsidR="002555D4">
        <w:rPr>
          <w:rFonts w:ascii="Californian FB" w:hAnsi="Californian FB"/>
          <w:b/>
          <w:bCs/>
          <w:sz w:val="28"/>
          <w:szCs w:val="28"/>
        </w:rPr>
        <w:t>Establishing That the Defendant Copied from Plaintiff’s Work</w:t>
      </w:r>
    </w:p>
    <w:p w14:paraId="31ACFD64" w14:textId="5BE8759D" w:rsidR="002555D4" w:rsidRDefault="002555D4" w:rsidP="00784649">
      <w:pPr>
        <w:jc w:val="both"/>
        <w:rPr>
          <w:rFonts w:ascii="Californian FB" w:hAnsi="Californian FB"/>
          <w:sz w:val="28"/>
          <w:szCs w:val="28"/>
        </w:rPr>
      </w:pPr>
      <w:r>
        <w:rPr>
          <w:rFonts w:ascii="Californian FB" w:hAnsi="Californian FB"/>
          <w:sz w:val="28"/>
          <w:szCs w:val="28"/>
        </w:rPr>
        <w:t>P. 255 – Insert the following after Note 4:</w:t>
      </w:r>
    </w:p>
    <w:p w14:paraId="4AD437C9" w14:textId="30091137" w:rsidR="00C47E6A" w:rsidRDefault="002555D4" w:rsidP="00DF735B">
      <w:pPr>
        <w:ind w:left="270" w:hanging="270"/>
        <w:jc w:val="both"/>
        <w:rPr>
          <w:rFonts w:ascii="Californian FB" w:hAnsi="Californian FB"/>
          <w:sz w:val="24"/>
          <w:szCs w:val="24"/>
        </w:rPr>
      </w:pPr>
      <w:r>
        <w:rPr>
          <w:rFonts w:ascii="Californian FB" w:hAnsi="Californian FB"/>
          <w:b/>
          <w:bCs/>
          <w:sz w:val="24"/>
          <w:szCs w:val="24"/>
        </w:rPr>
        <w:t xml:space="preserve">5. The “Inverse Relationship” </w:t>
      </w:r>
      <w:r w:rsidR="009E5B7C">
        <w:rPr>
          <w:rFonts w:ascii="Californian FB" w:hAnsi="Californian FB"/>
          <w:b/>
          <w:bCs/>
          <w:sz w:val="24"/>
          <w:szCs w:val="24"/>
        </w:rPr>
        <w:t>or “Inverse Ratio” Rule Rejected</w:t>
      </w:r>
      <w:r>
        <w:rPr>
          <w:rFonts w:ascii="Californian FB" w:hAnsi="Californian FB"/>
          <w:b/>
          <w:bCs/>
          <w:sz w:val="24"/>
          <w:szCs w:val="24"/>
        </w:rPr>
        <w:t xml:space="preserve"> by the Ninth Circuit. </w:t>
      </w:r>
      <w:r>
        <w:rPr>
          <w:rFonts w:ascii="Californian FB" w:hAnsi="Californian FB"/>
          <w:sz w:val="24"/>
          <w:szCs w:val="24"/>
        </w:rPr>
        <w:t xml:space="preserve"> In </w:t>
      </w:r>
      <w:r>
        <w:rPr>
          <w:rFonts w:ascii="Californian FB" w:hAnsi="Californian FB"/>
          <w:i/>
          <w:iCs/>
          <w:sz w:val="24"/>
          <w:szCs w:val="24"/>
        </w:rPr>
        <w:t>Price</w:t>
      </w:r>
      <w:r>
        <w:rPr>
          <w:rFonts w:ascii="Californian FB" w:hAnsi="Californian FB"/>
          <w:sz w:val="24"/>
          <w:szCs w:val="24"/>
        </w:rPr>
        <w:t xml:space="preserve">, Judge Scheindlin states a rule of thumb that is </w:t>
      </w:r>
      <w:r w:rsidR="009E5B7C">
        <w:rPr>
          <w:rFonts w:ascii="Californian FB" w:hAnsi="Californian FB"/>
          <w:sz w:val="24"/>
          <w:szCs w:val="24"/>
        </w:rPr>
        <w:t>often</w:t>
      </w:r>
      <w:r>
        <w:rPr>
          <w:rFonts w:ascii="Californian FB" w:hAnsi="Californian FB"/>
          <w:sz w:val="24"/>
          <w:szCs w:val="24"/>
        </w:rPr>
        <w:t xml:space="preserve"> recited in copying</w:t>
      </w:r>
      <w:r w:rsidR="00E01346">
        <w:rPr>
          <w:rFonts w:ascii="Californian FB" w:hAnsi="Californian FB"/>
          <w:sz w:val="24"/>
          <w:szCs w:val="24"/>
        </w:rPr>
        <w:t>-</w:t>
      </w:r>
      <w:r>
        <w:rPr>
          <w:rFonts w:ascii="Californian FB" w:hAnsi="Californian FB"/>
          <w:sz w:val="24"/>
          <w:szCs w:val="24"/>
        </w:rPr>
        <w:t>in</w:t>
      </w:r>
      <w:r w:rsidR="00E01346">
        <w:rPr>
          <w:rFonts w:ascii="Californian FB" w:hAnsi="Californian FB"/>
          <w:sz w:val="24"/>
          <w:szCs w:val="24"/>
        </w:rPr>
        <w:t>-</w:t>
      </w:r>
      <w:r>
        <w:rPr>
          <w:rFonts w:ascii="Californian FB" w:hAnsi="Californian FB"/>
          <w:sz w:val="24"/>
          <w:szCs w:val="24"/>
        </w:rPr>
        <w:t>fact cases: the more substantial the evidence presented of access, the less evidence is needed of similarity, and vice versa</w:t>
      </w:r>
      <w:r w:rsidR="00E01346">
        <w:rPr>
          <w:rFonts w:ascii="Californian FB" w:hAnsi="Californian FB"/>
          <w:sz w:val="24"/>
          <w:szCs w:val="24"/>
        </w:rPr>
        <w:t xml:space="preserve">. That </w:t>
      </w:r>
      <w:r>
        <w:rPr>
          <w:rFonts w:ascii="Californian FB" w:hAnsi="Californian FB"/>
          <w:sz w:val="24"/>
          <w:szCs w:val="24"/>
        </w:rPr>
        <w:t xml:space="preserve">rule has become known as the “inverse relationship” </w:t>
      </w:r>
      <w:r w:rsidR="00E01346">
        <w:rPr>
          <w:rFonts w:ascii="Californian FB" w:hAnsi="Californian FB"/>
          <w:sz w:val="24"/>
          <w:szCs w:val="24"/>
        </w:rPr>
        <w:t xml:space="preserve">or “inverse ratio” </w:t>
      </w:r>
      <w:r>
        <w:rPr>
          <w:rFonts w:ascii="Californian FB" w:hAnsi="Californian FB"/>
          <w:sz w:val="24"/>
          <w:szCs w:val="24"/>
        </w:rPr>
        <w:t xml:space="preserve">rule.  In </w:t>
      </w:r>
      <w:r w:rsidR="009E5B7C" w:rsidRPr="009E5B7C">
        <w:rPr>
          <w:rFonts w:ascii="Californian FB" w:hAnsi="Californian FB"/>
          <w:sz w:val="24"/>
          <w:szCs w:val="24"/>
        </w:rPr>
        <w:t>Skidmore v. Zeppelin, 952 F.3d 1051 (2020)</w:t>
      </w:r>
      <w:r w:rsidR="009E5B7C">
        <w:rPr>
          <w:rFonts w:ascii="Californian FB" w:hAnsi="Californian FB"/>
          <w:sz w:val="24"/>
          <w:szCs w:val="24"/>
        </w:rPr>
        <w:t>, which involve</w:t>
      </w:r>
      <w:r w:rsidR="00E01346">
        <w:rPr>
          <w:rFonts w:ascii="Californian FB" w:hAnsi="Californian FB"/>
          <w:sz w:val="24"/>
          <w:szCs w:val="24"/>
        </w:rPr>
        <w:t>d</w:t>
      </w:r>
      <w:r w:rsidR="009E5B7C">
        <w:rPr>
          <w:rFonts w:ascii="Californian FB" w:hAnsi="Californian FB"/>
          <w:sz w:val="24"/>
          <w:szCs w:val="24"/>
        </w:rPr>
        <w:t xml:space="preserve"> a claim that the classic Led Zeppelin rock song “Stairway to Heaven” infringe</w:t>
      </w:r>
      <w:r w:rsidR="00E01346">
        <w:rPr>
          <w:rFonts w:ascii="Californian FB" w:hAnsi="Californian FB"/>
          <w:sz w:val="24"/>
          <w:szCs w:val="24"/>
        </w:rPr>
        <w:t>d</w:t>
      </w:r>
      <w:r w:rsidR="009E5B7C">
        <w:rPr>
          <w:rFonts w:ascii="Californian FB" w:hAnsi="Californian FB"/>
          <w:sz w:val="24"/>
          <w:szCs w:val="24"/>
        </w:rPr>
        <w:t xml:space="preserve"> a song called “Taurus,” the Ninth Circuit rejected that rule.  </w:t>
      </w:r>
      <w:r w:rsidR="00AA1101">
        <w:rPr>
          <w:rFonts w:ascii="Californian FB" w:hAnsi="Californian FB"/>
          <w:sz w:val="24"/>
          <w:szCs w:val="24"/>
        </w:rPr>
        <w:t>Skidmore, the plaintiff, had requested a jury instruction regarding the inverse ratio rule</w:t>
      </w:r>
      <w:r w:rsidR="00E01346">
        <w:rPr>
          <w:rFonts w:ascii="Californian FB" w:hAnsi="Californian FB"/>
          <w:sz w:val="24"/>
          <w:szCs w:val="24"/>
        </w:rPr>
        <w:t>.  P</w:t>
      </w:r>
      <w:r w:rsidR="00AA1101">
        <w:rPr>
          <w:rFonts w:ascii="Californian FB" w:hAnsi="Californian FB"/>
          <w:sz w:val="24"/>
          <w:szCs w:val="24"/>
        </w:rPr>
        <w:t>resumably</w:t>
      </w:r>
      <w:r w:rsidR="00E01346">
        <w:rPr>
          <w:rFonts w:ascii="Californian FB" w:hAnsi="Californian FB"/>
          <w:sz w:val="24"/>
          <w:szCs w:val="24"/>
        </w:rPr>
        <w:t>,</w:t>
      </w:r>
      <w:r w:rsidR="00AA1101">
        <w:rPr>
          <w:rFonts w:ascii="Californian FB" w:hAnsi="Californian FB"/>
          <w:sz w:val="24"/>
          <w:szCs w:val="24"/>
        </w:rPr>
        <w:t xml:space="preserve"> there was strong evidence of Led Zeppelin’s access to “Taurus,” and Skidmore thought that such an instruction would increase the likelihood that </w:t>
      </w:r>
      <w:r w:rsidR="00C47E6A">
        <w:rPr>
          <w:rFonts w:ascii="Californian FB" w:hAnsi="Californian FB"/>
          <w:sz w:val="24"/>
          <w:szCs w:val="24"/>
        </w:rPr>
        <w:t>jurors</w:t>
      </w:r>
      <w:r w:rsidR="00AA1101">
        <w:rPr>
          <w:rFonts w:ascii="Californian FB" w:hAnsi="Californian FB"/>
          <w:sz w:val="24"/>
          <w:szCs w:val="24"/>
        </w:rPr>
        <w:t xml:space="preserve"> would find copying even if they concluded that there wasn’t a high degree of similarity between the two songs.  The District Court refused to give the instruction, and the Ninth Circuit affirmed that refusal. The principal problem with the inverse ratio rule, according to the Ninth Circuit, </w:t>
      </w:r>
      <w:r w:rsidR="00AA1101">
        <w:rPr>
          <w:rFonts w:ascii="Californian FB" w:hAnsi="Californian FB"/>
          <w:sz w:val="24"/>
          <w:szCs w:val="24"/>
        </w:rPr>
        <w:lastRenderedPageBreak/>
        <w:t xml:space="preserve">is that it suggests that liability may be imposed when there is complete evidence of access – we </w:t>
      </w:r>
      <w:r w:rsidR="00DF735B">
        <w:rPr>
          <w:rFonts w:ascii="Californian FB" w:hAnsi="Californian FB"/>
          <w:sz w:val="24"/>
          <w:szCs w:val="24"/>
        </w:rPr>
        <w:t xml:space="preserve">are sure </w:t>
      </w:r>
      <w:r w:rsidR="00AA1101">
        <w:rPr>
          <w:rFonts w:ascii="Californian FB" w:hAnsi="Californian FB"/>
          <w:sz w:val="24"/>
          <w:szCs w:val="24"/>
        </w:rPr>
        <w:t>that the defendant knew the plaintiff’s work</w:t>
      </w:r>
      <w:r w:rsidR="00DF735B">
        <w:rPr>
          <w:rFonts w:ascii="Californian FB" w:hAnsi="Californian FB"/>
          <w:sz w:val="24"/>
          <w:szCs w:val="24"/>
        </w:rPr>
        <w:t xml:space="preserve">, or the defendant admits it – and yet there are no similarities between the defendant’s work and the plaintiff’s work.  </w:t>
      </w:r>
      <w:r w:rsidR="00DF735B">
        <w:rPr>
          <w:rFonts w:ascii="Californian FB" w:hAnsi="Californian FB"/>
          <w:i/>
          <w:iCs/>
          <w:sz w:val="24"/>
          <w:szCs w:val="24"/>
        </w:rPr>
        <w:t xml:space="preserve">See id. </w:t>
      </w:r>
      <w:r w:rsidR="00DF735B">
        <w:rPr>
          <w:rFonts w:ascii="Californian FB" w:hAnsi="Californian FB"/>
          <w:sz w:val="24"/>
          <w:szCs w:val="24"/>
        </w:rPr>
        <w:t xml:space="preserve">at 1068. That suggestion is erroneous, states the </w:t>
      </w:r>
      <w:r w:rsidR="00DF735B">
        <w:rPr>
          <w:rFonts w:ascii="Californian FB" w:hAnsi="Californian FB"/>
          <w:i/>
          <w:iCs/>
          <w:sz w:val="24"/>
          <w:szCs w:val="24"/>
        </w:rPr>
        <w:t xml:space="preserve">Skidmore </w:t>
      </w:r>
      <w:r w:rsidR="00DF735B">
        <w:rPr>
          <w:rFonts w:ascii="Californian FB" w:hAnsi="Californian FB"/>
          <w:sz w:val="24"/>
          <w:szCs w:val="24"/>
        </w:rPr>
        <w:t>court, because copyright infringement requires copying, and if there are no similarities between the two works, there has been no copying.</w:t>
      </w:r>
    </w:p>
    <w:p w14:paraId="3FF07E79" w14:textId="34CCF41F" w:rsidR="00C47E6A" w:rsidRDefault="00C47E6A" w:rsidP="00C47E6A">
      <w:pPr>
        <w:ind w:left="270"/>
        <w:jc w:val="both"/>
        <w:rPr>
          <w:rFonts w:ascii="Californian FB" w:hAnsi="Californian FB"/>
          <w:sz w:val="24"/>
          <w:szCs w:val="24"/>
        </w:rPr>
      </w:pPr>
      <w:r>
        <w:rPr>
          <w:rFonts w:ascii="Californian FB" w:hAnsi="Californian FB"/>
          <w:sz w:val="24"/>
          <w:szCs w:val="24"/>
        </w:rPr>
        <w:t xml:space="preserve">The </w:t>
      </w:r>
      <w:r>
        <w:rPr>
          <w:rFonts w:ascii="Californian FB" w:hAnsi="Californian FB"/>
          <w:i/>
          <w:iCs/>
          <w:sz w:val="24"/>
          <w:szCs w:val="24"/>
        </w:rPr>
        <w:t xml:space="preserve">Skidmore </w:t>
      </w:r>
      <w:r>
        <w:rPr>
          <w:rFonts w:ascii="Californian FB" w:hAnsi="Californian FB"/>
          <w:sz w:val="24"/>
          <w:szCs w:val="24"/>
        </w:rPr>
        <w:t xml:space="preserve">court is undoubtedly correct that, carried to such an extreme, the “inverse ratio” rule is wrong.  Consider, however, two qualifications to the court’s rejection of the rule.  First, some of the court’s concern stems from a worry that the jury – or the judge – will confuse the two separate issues of copying in fact and improper appropriation.  If the finder of fact mixes those two issues, then the inverse ratio instruction may be taken to suggest that the more evidence of access there is, the lower the standard is for improper appropriation, so that minute similarities will suffice for a finding, not just that </w:t>
      </w:r>
      <w:r w:rsidR="006C1BC0">
        <w:rPr>
          <w:rFonts w:ascii="Californian FB" w:hAnsi="Californian FB"/>
          <w:sz w:val="24"/>
          <w:szCs w:val="24"/>
        </w:rPr>
        <w:t xml:space="preserve">the defendant copied from the plaintiff’s work, but that those similarities rise to the (lowered) threshold for finding improper appropriation and hence infringement.  That may be true, but the issue of confusion between copying in fact and improper appropriation is separate from the issue of the correct approach to determining copying in fact.  Unfortunately, as the </w:t>
      </w:r>
      <w:r w:rsidR="006C1BC0">
        <w:rPr>
          <w:rFonts w:ascii="Californian FB" w:hAnsi="Californian FB"/>
          <w:i/>
          <w:iCs/>
          <w:sz w:val="24"/>
          <w:szCs w:val="24"/>
        </w:rPr>
        <w:t xml:space="preserve">Skidmore </w:t>
      </w:r>
      <w:r w:rsidR="006C1BC0">
        <w:rPr>
          <w:rFonts w:ascii="Californian FB" w:hAnsi="Californian FB"/>
          <w:sz w:val="24"/>
          <w:szCs w:val="24"/>
        </w:rPr>
        <w:t xml:space="preserve">court admits, the Ninth Circuit has contributed to the confusion between copying in fact and improper appropriation by using the term “substantial similarity” in both contexts.  </w:t>
      </w:r>
      <w:r w:rsidR="006C1BC0">
        <w:rPr>
          <w:rFonts w:ascii="Californian FB" w:hAnsi="Californian FB"/>
          <w:i/>
          <w:iCs/>
          <w:sz w:val="24"/>
          <w:szCs w:val="24"/>
        </w:rPr>
        <w:t xml:space="preserve">Id. </w:t>
      </w:r>
      <w:r w:rsidR="006C1BC0">
        <w:rPr>
          <w:rFonts w:ascii="Californian FB" w:hAnsi="Californian FB"/>
          <w:sz w:val="24"/>
          <w:szCs w:val="24"/>
        </w:rPr>
        <w:t xml:space="preserve">at 1067; see also the </w:t>
      </w:r>
      <w:r w:rsidR="00734180">
        <w:rPr>
          <w:rFonts w:ascii="Californian FB" w:hAnsi="Californian FB"/>
          <w:sz w:val="24"/>
          <w:szCs w:val="24"/>
        </w:rPr>
        <w:t xml:space="preserve">discussion in the </w:t>
      </w:r>
      <w:r w:rsidR="006C1BC0">
        <w:rPr>
          <w:rFonts w:ascii="Californian FB" w:hAnsi="Californian FB"/>
          <w:sz w:val="24"/>
          <w:szCs w:val="24"/>
        </w:rPr>
        <w:t xml:space="preserve">“Language Tip” box </w:t>
      </w:r>
      <w:r w:rsidR="00734180">
        <w:rPr>
          <w:rFonts w:ascii="Californian FB" w:hAnsi="Californian FB"/>
          <w:sz w:val="24"/>
          <w:szCs w:val="24"/>
        </w:rPr>
        <w:t>on pages 256-257 of the main volume of the casebook. It will always be useful to understand that similarities need to be considered once in the context of determining whether there has been copying in fact, and then again, but from a different perspective and with different rules, to determine if copying has risen to the level of improper appropriation.</w:t>
      </w:r>
    </w:p>
    <w:p w14:paraId="1987B73E" w14:textId="529C2BFC" w:rsidR="002555D4" w:rsidRPr="002555D4" w:rsidRDefault="00734180" w:rsidP="006109B1">
      <w:pPr>
        <w:ind w:left="270"/>
        <w:jc w:val="both"/>
        <w:rPr>
          <w:rFonts w:ascii="Californian FB" w:hAnsi="Californian FB"/>
          <w:b/>
          <w:bCs/>
          <w:sz w:val="24"/>
          <w:szCs w:val="24"/>
        </w:rPr>
      </w:pPr>
      <w:r>
        <w:rPr>
          <w:rFonts w:ascii="Californian FB" w:hAnsi="Californian FB"/>
          <w:sz w:val="24"/>
          <w:szCs w:val="24"/>
        </w:rPr>
        <w:t xml:space="preserve">Second, while is it true that the “inverse ratio” rule is wrong if taken to mean that copying in fact can be inferred from certain access but no similarity, is it necessarily wrong if taken to mean something more modest?  </w:t>
      </w:r>
      <w:r w:rsidR="004004CC">
        <w:rPr>
          <w:rFonts w:ascii="Californian FB" w:hAnsi="Californian FB"/>
          <w:sz w:val="24"/>
          <w:szCs w:val="24"/>
        </w:rPr>
        <w:t xml:space="preserve">After all, the rule, </w:t>
      </w:r>
      <w:r w:rsidR="00E01346">
        <w:rPr>
          <w:rFonts w:ascii="Californian FB" w:hAnsi="Californian FB"/>
          <w:sz w:val="24"/>
          <w:szCs w:val="24"/>
        </w:rPr>
        <w:t xml:space="preserve">which is </w:t>
      </w:r>
      <w:r w:rsidR="006109B1">
        <w:rPr>
          <w:rFonts w:ascii="Californian FB" w:hAnsi="Californian FB"/>
          <w:sz w:val="24"/>
          <w:szCs w:val="24"/>
        </w:rPr>
        <w:t xml:space="preserve">surely </w:t>
      </w:r>
      <w:r w:rsidR="004004CC">
        <w:rPr>
          <w:rFonts w:ascii="Californian FB" w:hAnsi="Californian FB"/>
          <w:sz w:val="24"/>
          <w:szCs w:val="24"/>
        </w:rPr>
        <w:t>properly considered a rule of thumb rather than a mathemat</w:t>
      </w:r>
      <w:r w:rsidR="006109B1">
        <w:rPr>
          <w:rFonts w:ascii="Californian FB" w:hAnsi="Californian FB"/>
          <w:sz w:val="24"/>
          <w:szCs w:val="24"/>
        </w:rPr>
        <w:t xml:space="preserve">ical formula, was likely created and most often applied, not in extreme cases where one type of evidence is extraordinarily strong and the other nonexistent, but in more common cases where there may be weak-to-moderate evidence of both types. </w:t>
      </w:r>
      <w:r w:rsidR="00B96ECC">
        <w:rPr>
          <w:rFonts w:ascii="Californian FB" w:hAnsi="Californian FB"/>
          <w:sz w:val="24"/>
          <w:szCs w:val="24"/>
        </w:rPr>
        <w:t>The more modest meaning</w:t>
      </w:r>
      <w:r w:rsidR="00350A13">
        <w:rPr>
          <w:rFonts w:ascii="Californian FB" w:hAnsi="Californian FB"/>
          <w:sz w:val="24"/>
          <w:szCs w:val="24"/>
        </w:rPr>
        <w:t xml:space="preserve"> </w:t>
      </w:r>
      <w:r w:rsidR="006109B1">
        <w:rPr>
          <w:rFonts w:ascii="Californian FB" w:hAnsi="Californian FB"/>
          <w:sz w:val="24"/>
          <w:szCs w:val="24"/>
        </w:rPr>
        <w:t xml:space="preserve">is limited to those more common cases, and might be </w:t>
      </w:r>
      <w:r w:rsidR="00350A13">
        <w:rPr>
          <w:rFonts w:ascii="Californian FB" w:hAnsi="Californian FB"/>
          <w:sz w:val="24"/>
          <w:szCs w:val="24"/>
        </w:rPr>
        <w:t>elaborated in three statements.  (1) W</w:t>
      </w:r>
      <w:r w:rsidR="00B96ECC">
        <w:rPr>
          <w:rFonts w:ascii="Californian FB" w:hAnsi="Californian FB"/>
          <w:sz w:val="24"/>
          <w:szCs w:val="24"/>
        </w:rPr>
        <w:t>hen coming to a conclusion</w:t>
      </w:r>
      <w:r w:rsidR="00350A13">
        <w:rPr>
          <w:rFonts w:ascii="Californian FB" w:hAnsi="Californian FB"/>
          <w:sz w:val="24"/>
          <w:szCs w:val="24"/>
        </w:rPr>
        <w:t xml:space="preserve"> whether it is more likely than not </w:t>
      </w:r>
      <w:proofErr w:type="gramStart"/>
      <w:r w:rsidR="00350A13">
        <w:rPr>
          <w:rFonts w:ascii="Californian FB" w:hAnsi="Californian FB"/>
          <w:sz w:val="24"/>
          <w:szCs w:val="24"/>
        </w:rPr>
        <w:t>that element</w:t>
      </w:r>
      <w:r w:rsidR="004004CC">
        <w:rPr>
          <w:rFonts w:ascii="Californian FB" w:hAnsi="Californian FB"/>
          <w:sz w:val="24"/>
          <w:szCs w:val="24"/>
        </w:rPr>
        <w:t>s</w:t>
      </w:r>
      <w:r w:rsidR="00350A13">
        <w:rPr>
          <w:rFonts w:ascii="Californian FB" w:hAnsi="Californian FB"/>
          <w:sz w:val="24"/>
          <w:szCs w:val="24"/>
        </w:rPr>
        <w:t xml:space="preserve"> of defendant’s work</w:t>
      </w:r>
      <w:proofErr w:type="gramEnd"/>
      <w:r w:rsidR="00350A13">
        <w:rPr>
          <w:rFonts w:ascii="Californian FB" w:hAnsi="Californian FB"/>
          <w:sz w:val="24"/>
          <w:szCs w:val="24"/>
        </w:rPr>
        <w:t xml:space="preserve"> were copied from plaintiff’s, </w:t>
      </w:r>
      <w:r w:rsidR="00B96ECC">
        <w:rPr>
          <w:rFonts w:ascii="Californian FB" w:hAnsi="Californian FB"/>
          <w:sz w:val="24"/>
          <w:szCs w:val="24"/>
        </w:rPr>
        <w:t xml:space="preserve">a jury </w:t>
      </w:r>
      <w:r w:rsidR="00350A13">
        <w:rPr>
          <w:rFonts w:ascii="Californian FB" w:hAnsi="Californian FB"/>
          <w:sz w:val="24"/>
          <w:szCs w:val="24"/>
        </w:rPr>
        <w:t xml:space="preserve">of judge </w:t>
      </w:r>
      <w:r w:rsidR="00B96ECC">
        <w:rPr>
          <w:rFonts w:ascii="Californian FB" w:hAnsi="Californian FB"/>
          <w:sz w:val="24"/>
          <w:szCs w:val="24"/>
        </w:rPr>
        <w:t xml:space="preserve">should </w:t>
      </w:r>
      <w:r w:rsidR="004004CC">
        <w:rPr>
          <w:rFonts w:ascii="Californian FB" w:hAnsi="Californian FB"/>
          <w:sz w:val="24"/>
          <w:szCs w:val="24"/>
        </w:rPr>
        <w:t>consider</w:t>
      </w:r>
      <w:r w:rsidR="00B96ECC">
        <w:rPr>
          <w:rFonts w:ascii="Californian FB" w:hAnsi="Californian FB"/>
          <w:sz w:val="24"/>
          <w:szCs w:val="24"/>
        </w:rPr>
        <w:t xml:space="preserve"> both evidence of access and evidence of similarities between the works</w:t>
      </w:r>
      <w:r w:rsidR="00350A13">
        <w:rPr>
          <w:rFonts w:ascii="Californian FB" w:hAnsi="Californian FB"/>
          <w:sz w:val="24"/>
          <w:szCs w:val="24"/>
        </w:rPr>
        <w:t xml:space="preserve">.  (2) </w:t>
      </w:r>
      <w:r w:rsidR="004004CC">
        <w:rPr>
          <w:rFonts w:ascii="Californian FB" w:hAnsi="Californian FB"/>
          <w:sz w:val="24"/>
          <w:szCs w:val="24"/>
        </w:rPr>
        <w:t xml:space="preserve">Sometimes the evidence of access presented would not be sufficient by itself to sustain a finding of copying in fact, and neither would the evidence of similarities, and yet they could be sufficient when added together.  (3) Sometimes relatively strong evidence of access can be sufficient when combined with relatively weak evidence of similarities, and vice versa. </w:t>
      </w:r>
      <w:r w:rsidR="00E01346">
        <w:rPr>
          <w:rFonts w:ascii="Californian FB" w:hAnsi="Californian FB"/>
          <w:sz w:val="24"/>
          <w:szCs w:val="24"/>
        </w:rPr>
        <w:t>So limited, does the “inverse relationship” rule make sense?  If so, i</w:t>
      </w:r>
      <w:r w:rsidR="006109B1">
        <w:rPr>
          <w:rFonts w:ascii="Californian FB" w:hAnsi="Californian FB"/>
          <w:sz w:val="24"/>
          <w:szCs w:val="24"/>
        </w:rPr>
        <w:t xml:space="preserve">s there some way of explaining </w:t>
      </w:r>
      <w:r w:rsidR="00E01346">
        <w:rPr>
          <w:rFonts w:ascii="Californian FB" w:hAnsi="Californian FB"/>
          <w:sz w:val="24"/>
          <w:szCs w:val="24"/>
        </w:rPr>
        <w:t>it</w:t>
      </w:r>
      <w:r w:rsidR="006109B1">
        <w:rPr>
          <w:rFonts w:ascii="Californian FB" w:hAnsi="Californian FB"/>
          <w:sz w:val="24"/>
          <w:szCs w:val="24"/>
        </w:rPr>
        <w:t xml:space="preserve"> a jury that would be helpful, </w:t>
      </w:r>
      <w:r w:rsidR="00E01346">
        <w:rPr>
          <w:rFonts w:ascii="Californian FB" w:hAnsi="Californian FB"/>
          <w:sz w:val="24"/>
          <w:szCs w:val="24"/>
        </w:rPr>
        <w:t>or is the danger of misunderstanding too great</w:t>
      </w:r>
      <w:r w:rsidR="006109B1">
        <w:rPr>
          <w:rFonts w:ascii="Californian FB" w:hAnsi="Californian FB"/>
          <w:sz w:val="24"/>
          <w:szCs w:val="24"/>
        </w:rPr>
        <w:t>?</w:t>
      </w:r>
    </w:p>
    <w:p w14:paraId="5E851A7B" w14:textId="5FE5A3F5" w:rsidR="000E35AC" w:rsidRDefault="000E35AC" w:rsidP="00AC1C40">
      <w:pPr>
        <w:autoSpaceDE w:val="0"/>
        <w:autoSpaceDN w:val="0"/>
        <w:adjustRightInd w:val="0"/>
        <w:spacing w:after="0" w:line="240" w:lineRule="auto"/>
        <w:rPr>
          <w:rFonts w:ascii="Californian FB" w:hAnsi="Californian FB" w:cs="BerkeleyStd-Bold"/>
          <w:b/>
          <w:bCs/>
          <w:sz w:val="28"/>
          <w:szCs w:val="28"/>
        </w:rPr>
      </w:pPr>
    </w:p>
    <w:p w14:paraId="07CFD436" w14:textId="77777777" w:rsidR="00A9227A" w:rsidRDefault="00A9227A" w:rsidP="00AC1C40">
      <w:pPr>
        <w:autoSpaceDE w:val="0"/>
        <w:autoSpaceDN w:val="0"/>
        <w:adjustRightInd w:val="0"/>
        <w:spacing w:after="0" w:line="240" w:lineRule="auto"/>
        <w:rPr>
          <w:rFonts w:ascii="Californian FB" w:hAnsi="Californian FB" w:cs="BerkeleyStd-Bold"/>
          <w:b/>
          <w:bCs/>
          <w:sz w:val="28"/>
          <w:szCs w:val="28"/>
        </w:rPr>
      </w:pPr>
    </w:p>
    <w:p w14:paraId="25A146BC" w14:textId="242C9CB9" w:rsidR="00AC1C40" w:rsidRPr="000E35AC" w:rsidRDefault="00AC1C40" w:rsidP="00AC1C40">
      <w:pPr>
        <w:autoSpaceDE w:val="0"/>
        <w:autoSpaceDN w:val="0"/>
        <w:adjustRightInd w:val="0"/>
        <w:spacing w:after="0" w:line="240" w:lineRule="auto"/>
        <w:rPr>
          <w:rFonts w:ascii="Californian FB" w:hAnsi="Californian FB" w:cs="BerkeleyStd-Bold"/>
          <w:b/>
          <w:bCs/>
          <w:sz w:val="28"/>
          <w:szCs w:val="28"/>
        </w:rPr>
      </w:pPr>
      <w:r w:rsidRPr="000E35AC">
        <w:rPr>
          <w:rFonts w:ascii="Californian FB" w:hAnsi="Californian FB" w:cs="BerkeleyStd-Bold"/>
          <w:b/>
          <w:bCs/>
          <w:sz w:val="28"/>
          <w:szCs w:val="28"/>
        </w:rPr>
        <w:lastRenderedPageBreak/>
        <w:t>D. Introduction to the Modern Cases on Improper Appropriation in Non-Literal Infringement Cases</w:t>
      </w:r>
    </w:p>
    <w:p w14:paraId="1D808FCF" w14:textId="6819C00E" w:rsidR="00AC1C40" w:rsidRPr="000E35AC" w:rsidRDefault="00AC1C40" w:rsidP="00AC1C40">
      <w:pPr>
        <w:autoSpaceDE w:val="0"/>
        <w:autoSpaceDN w:val="0"/>
        <w:adjustRightInd w:val="0"/>
        <w:spacing w:after="0" w:line="240" w:lineRule="auto"/>
        <w:rPr>
          <w:rFonts w:ascii="Californian FB" w:hAnsi="Californian FB" w:cs="BerkeleyStd-Bold"/>
          <w:b/>
          <w:bCs/>
          <w:sz w:val="28"/>
          <w:szCs w:val="28"/>
        </w:rPr>
      </w:pPr>
    </w:p>
    <w:p w14:paraId="3EE9BA58" w14:textId="3355C025" w:rsidR="00AC1C40" w:rsidRDefault="00AC1C40" w:rsidP="00AC1C40">
      <w:pPr>
        <w:autoSpaceDE w:val="0"/>
        <w:autoSpaceDN w:val="0"/>
        <w:adjustRightInd w:val="0"/>
        <w:spacing w:after="0" w:line="240" w:lineRule="auto"/>
        <w:rPr>
          <w:rFonts w:ascii="Californian FB" w:hAnsi="Californian FB" w:cs="BerkeleyStd-Bold"/>
          <w:b/>
          <w:bCs/>
          <w:sz w:val="28"/>
          <w:szCs w:val="28"/>
        </w:rPr>
      </w:pPr>
      <w:r w:rsidRPr="000E35AC">
        <w:rPr>
          <w:rFonts w:ascii="Californian FB" w:hAnsi="Californian FB" w:cs="BerkeleyStd-Bold"/>
          <w:b/>
          <w:bCs/>
          <w:sz w:val="28"/>
          <w:szCs w:val="28"/>
        </w:rPr>
        <w:t>1. Whose Perspective Controls?</w:t>
      </w:r>
    </w:p>
    <w:p w14:paraId="7BB90EA6" w14:textId="0573F3E3" w:rsidR="000E35AC" w:rsidRDefault="000E35AC" w:rsidP="00AC1C40">
      <w:pPr>
        <w:autoSpaceDE w:val="0"/>
        <w:autoSpaceDN w:val="0"/>
        <w:adjustRightInd w:val="0"/>
        <w:spacing w:after="0" w:line="240" w:lineRule="auto"/>
        <w:rPr>
          <w:rFonts w:ascii="Californian FB" w:hAnsi="Californian FB" w:cs="BerkeleyStd-Bold"/>
          <w:b/>
          <w:bCs/>
          <w:sz w:val="28"/>
          <w:szCs w:val="28"/>
        </w:rPr>
      </w:pPr>
    </w:p>
    <w:p w14:paraId="2857927A" w14:textId="1E8747C5" w:rsidR="000E35AC" w:rsidRPr="000E35AC" w:rsidRDefault="000E35AC" w:rsidP="00AC1C40">
      <w:pPr>
        <w:autoSpaceDE w:val="0"/>
        <w:autoSpaceDN w:val="0"/>
        <w:adjustRightInd w:val="0"/>
        <w:spacing w:after="0" w:line="240" w:lineRule="auto"/>
        <w:rPr>
          <w:rFonts w:ascii="Californian FB" w:hAnsi="Californian FB" w:cs="BerkeleyStd-Bold"/>
          <w:sz w:val="28"/>
          <w:szCs w:val="28"/>
        </w:rPr>
      </w:pPr>
      <w:r>
        <w:rPr>
          <w:rFonts w:ascii="Californian FB" w:hAnsi="Californian FB" w:cs="BerkeleyStd-Bold"/>
          <w:sz w:val="28"/>
          <w:szCs w:val="28"/>
        </w:rPr>
        <w:t>P. 276, Note 3 – The first sentence should read as follows:</w:t>
      </w:r>
    </w:p>
    <w:p w14:paraId="24574A12" w14:textId="77777777" w:rsidR="00AC1C40" w:rsidRDefault="00AC1C40" w:rsidP="00AC1C40">
      <w:pPr>
        <w:autoSpaceDE w:val="0"/>
        <w:autoSpaceDN w:val="0"/>
        <w:adjustRightInd w:val="0"/>
        <w:spacing w:after="0" w:line="240" w:lineRule="auto"/>
        <w:rPr>
          <w:rFonts w:ascii="Californian FB" w:hAnsi="Californian FB"/>
          <w:sz w:val="24"/>
          <w:szCs w:val="24"/>
        </w:rPr>
      </w:pPr>
    </w:p>
    <w:p w14:paraId="17B72421" w14:textId="4AC0BA5B" w:rsidR="00AC1C40" w:rsidRPr="000E35AC" w:rsidRDefault="00AC1C40" w:rsidP="005F6079">
      <w:pPr>
        <w:autoSpaceDE w:val="0"/>
        <w:autoSpaceDN w:val="0"/>
        <w:adjustRightInd w:val="0"/>
        <w:spacing w:after="0" w:line="240" w:lineRule="auto"/>
        <w:jc w:val="both"/>
        <w:rPr>
          <w:rFonts w:ascii="Californian FB" w:hAnsi="Californian FB"/>
          <w:sz w:val="24"/>
          <w:szCs w:val="24"/>
        </w:rPr>
      </w:pPr>
      <w:r w:rsidRPr="000E35AC">
        <w:rPr>
          <w:rFonts w:ascii="Californian FB" w:hAnsi="Californian FB" w:cs="BerkeleyStd-Book"/>
          <w:sz w:val="24"/>
          <w:szCs w:val="24"/>
        </w:rPr>
        <w:t xml:space="preserve">In </w:t>
      </w:r>
      <w:r w:rsidRPr="000E35AC">
        <w:rPr>
          <w:rFonts w:ascii="Californian FB" w:hAnsi="Californian FB" w:cs="BerkeleyStd-BookItalic"/>
          <w:i/>
          <w:iCs/>
          <w:sz w:val="24"/>
          <w:szCs w:val="24"/>
        </w:rPr>
        <w:t>Copeland</w:t>
      </w:r>
      <w:r w:rsidRPr="000E35AC">
        <w:rPr>
          <w:rFonts w:ascii="Californian FB" w:hAnsi="Californian FB" w:cs="BerkeleyStd-Book"/>
          <w:sz w:val="24"/>
          <w:szCs w:val="24"/>
        </w:rPr>
        <w:t xml:space="preserve">, </w:t>
      </w:r>
      <w:r w:rsidR="000E35AC" w:rsidRPr="000E35AC">
        <w:rPr>
          <w:rFonts w:ascii="Californian FB" w:hAnsi="Californian FB" w:cs="BerkeleyStd-Book"/>
          <w:sz w:val="24"/>
          <w:szCs w:val="24"/>
        </w:rPr>
        <w:t xml:space="preserve">Copeland [not </w:t>
      </w:r>
      <w:r w:rsidRPr="000E35AC">
        <w:rPr>
          <w:rFonts w:ascii="Californian FB" w:hAnsi="Californian FB" w:cs="BerkeleyStd-Book"/>
          <w:sz w:val="24"/>
          <w:szCs w:val="24"/>
        </w:rPr>
        <w:t xml:space="preserve">Usher and The </w:t>
      </w:r>
      <w:proofErr w:type="spellStart"/>
      <w:r w:rsidRPr="000E35AC">
        <w:rPr>
          <w:rFonts w:ascii="Californian FB" w:hAnsi="Californian FB" w:cs="BerkeleyStd-Book"/>
          <w:sz w:val="24"/>
          <w:szCs w:val="24"/>
        </w:rPr>
        <w:t>Bieb</w:t>
      </w:r>
      <w:proofErr w:type="spellEnd"/>
      <w:r w:rsidR="000E35AC" w:rsidRPr="000E35AC">
        <w:rPr>
          <w:rFonts w:ascii="Californian FB" w:hAnsi="Californian FB" w:cs="BerkeleyStd-Book"/>
          <w:sz w:val="24"/>
          <w:szCs w:val="24"/>
        </w:rPr>
        <w:t xml:space="preserve">, as is mistakenly stated in the main </w:t>
      </w:r>
      <w:proofErr w:type="gramStart"/>
      <w:r w:rsidR="000E35AC" w:rsidRPr="000E35AC">
        <w:rPr>
          <w:rFonts w:ascii="Californian FB" w:hAnsi="Californian FB" w:cs="BerkeleyStd-Book"/>
          <w:sz w:val="24"/>
          <w:szCs w:val="24"/>
        </w:rPr>
        <w:t xml:space="preserve">volume] </w:t>
      </w:r>
      <w:r w:rsidRPr="000E35AC">
        <w:rPr>
          <w:rFonts w:ascii="Californian FB" w:hAnsi="Californian FB" w:cs="BerkeleyStd-Book"/>
          <w:sz w:val="24"/>
          <w:szCs w:val="24"/>
        </w:rPr>
        <w:t xml:space="preserve"> argued</w:t>
      </w:r>
      <w:proofErr w:type="gramEnd"/>
      <w:r w:rsidRPr="000E35AC">
        <w:rPr>
          <w:rFonts w:ascii="Californian FB" w:hAnsi="Californian FB" w:cs="BerkeleyStd-Book"/>
          <w:sz w:val="24"/>
          <w:szCs w:val="24"/>
        </w:rPr>
        <w:t xml:space="preserve"> that</w:t>
      </w:r>
      <w:r w:rsidR="000E35AC" w:rsidRPr="000E35AC">
        <w:rPr>
          <w:rFonts w:ascii="Californian FB" w:hAnsi="Californian FB" w:cs="BerkeleyStd-Book"/>
          <w:sz w:val="24"/>
          <w:szCs w:val="24"/>
        </w:rPr>
        <w:t xml:space="preserve"> </w:t>
      </w:r>
      <w:r w:rsidRPr="000E35AC">
        <w:rPr>
          <w:rFonts w:ascii="Californian FB" w:hAnsi="Californian FB" w:cs="BerkeleyStd-Book"/>
          <w:sz w:val="24"/>
          <w:szCs w:val="24"/>
        </w:rPr>
        <w:t>substantial similarity should have been assessed from the perspective of</w:t>
      </w:r>
      <w:r w:rsidR="000E35AC" w:rsidRPr="000E35AC">
        <w:rPr>
          <w:rFonts w:ascii="Californian FB" w:hAnsi="Californian FB" w:cs="BerkeleyStd-Book"/>
          <w:sz w:val="24"/>
          <w:szCs w:val="24"/>
        </w:rPr>
        <w:t xml:space="preserve"> </w:t>
      </w:r>
      <w:r w:rsidRPr="000E35AC">
        <w:rPr>
          <w:rFonts w:ascii="Californian FB" w:hAnsi="Californian FB" w:cs="BerkeleyStd-Book"/>
          <w:sz w:val="24"/>
          <w:szCs w:val="24"/>
        </w:rPr>
        <w:t>“industry professionals” in the music business because that was Copeland’s</w:t>
      </w:r>
      <w:r w:rsidR="000E35AC" w:rsidRPr="000E35AC">
        <w:rPr>
          <w:rFonts w:ascii="Californian FB" w:hAnsi="Californian FB" w:cs="BerkeleyStd-Book"/>
          <w:sz w:val="24"/>
          <w:szCs w:val="24"/>
        </w:rPr>
        <w:t xml:space="preserve"> </w:t>
      </w:r>
      <w:r w:rsidRPr="000E35AC">
        <w:rPr>
          <w:rFonts w:ascii="Californian FB" w:hAnsi="Californian FB" w:cs="BerkeleyStd-Book"/>
          <w:sz w:val="24"/>
          <w:szCs w:val="24"/>
        </w:rPr>
        <w:t>original target audience for his demo.</w:t>
      </w:r>
    </w:p>
    <w:p w14:paraId="3F2889E8" w14:textId="77777777" w:rsidR="008A645C" w:rsidRDefault="008A645C" w:rsidP="00ED6BE0">
      <w:pPr>
        <w:shd w:val="clear" w:color="auto" w:fill="FFFFFF"/>
        <w:jc w:val="both"/>
        <w:rPr>
          <w:rFonts w:ascii="Californian FB" w:eastAsia="Times New Roman" w:hAnsi="Californian FB" w:cstheme="minorHAnsi"/>
          <w:sz w:val="28"/>
          <w:szCs w:val="28"/>
        </w:rPr>
      </w:pPr>
    </w:p>
    <w:p w14:paraId="757B4E82" w14:textId="5B318CD9" w:rsidR="00991083" w:rsidRDefault="00991083" w:rsidP="00ED6BE0">
      <w:pPr>
        <w:shd w:val="clear" w:color="auto" w:fill="FFFFFF"/>
        <w:rPr>
          <w:rFonts w:ascii="Californian FB" w:hAnsi="Californian FB" w:cs="MinionPro-It"/>
          <w:b/>
          <w:i/>
          <w:iCs/>
          <w:sz w:val="28"/>
          <w:szCs w:val="28"/>
        </w:rPr>
      </w:pPr>
      <w:r w:rsidRPr="008A645C">
        <w:rPr>
          <w:rFonts w:ascii="Californian FB" w:hAnsi="Californian FB" w:cs="UniversLTStd-Cn-SC700"/>
          <w:b/>
          <w:sz w:val="28"/>
          <w:szCs w:val="28"/>
        </w:rPr>
        <w:t xml:space="preserve">Chapter </w:t>
      </w:r>
      <w:r>
        <w:rPr>
          <w:rFonts w:ascii="Californian FB" w:hAnsi="Californian FB" w:cs="UniversLTStd-Cn-SC700"/>
          <w:b/>
          <w:sz w:val="28"/>
          <w:szCs w:val="28"/>
        </w:rPr>
        <w:t>5</w:t>
      </w:r>
      <w:r w:rsidRPr="008A645C">
        <w:rPr>
          <w:rFonts w:ascii="Californian FB" w:hAnsi="Californian FB" w:cs="UniversLTStd-Cn-SC700"/>
          <w:b/>
          <w:sz w:val="28"/>
          <w:szCs w:val="28"/>
        </w:rPr>
        <w:t xml:space="preserve">: </w:t>
      </w:r>
      <w:r w:rsidRPr="008A645C">
        <w:rPr>
          <w:rFonts w:ascii="Californian FB" w:hAnsi="Californian FB" w:cs="MinionPro-It"/>
          <w:b/>
          <w:i/>
          <w:iCs/>
          <w:sz w:val="28"/>
          <w:szCs w:val="28"/>
        </w:rPr>
        <w:t>F</w:t>
      </w:r>
      <w:r>
        <w:rPr>
          <w:rFonts w:ascii="Californian FB" w:hAnsi="Californian FB" w:cs="MinionPro-It"/>
          <w:b/>
          <w:i/>
          <w:iCs/>
          <w:sz w:val="28"/>
          <w:szCs w:val="28"/>
        </w:rPr>
        <w:t>air Use</w:t>
      </w:r>
    </w:p>
    <w:p w14:paraId="7B475309" w14:textId="43256DCE" w:rsidR="00703375" w:rsidRDefault="00703375" w:rsidP="00ED6BE0">
      <w:pPr>
        <w:shd w:val="clear" w:color="auto" w:fill="FFFFFF"/>
        <w:rPr>
          <w:rFonts w:ascii="Californian FB" w:hAnsi="Californian FB" w:cs="MinionPro-It"/>
          <w:bCs/>
          <w:sz w:val="28"/>
          <w:szCs w:val="28"/>
        </w:rPr>
      </w:pPr>
      <w:r>
        <w:rPr>
          <w:rFonts w:ascii="Californian FB" w:hAnsi="Californian FB" w:cs="MinionPro-It"/>
          <w:bCs/>
          <w:sz w:val="28"/>
          <w:szCs w:val="28"/>
        </w:rPr>
        <w:t>p. 303 – delete the last two sentences on the page and replace with:</w:t>
      </w:r>
    </w:p>
    <w:p w14:paraId="0DF24C22" w14:textId="23CE9383" w:rsidR="00703375" w:rsidRDefault="00703375" w:rsidP="00ED6BE0">
      <w:pPr>
        <w:shd w:val="clear" w:color="auto" w:fill="FFFFFF"/>
        <w:rPr>
          <w:rFonts w:ascii="Californian FB" w:hAnsi="Californian FB" w:cs="MinionPro-It"/>
          <w:bCs/>
          <w:sz w:val="24"/>
          <w:szCs w:val="24"/>
        </w:rPr>
      </w:pPr>
      <w:r>
        <w:rPr>
          <w:rFonts w:ascii="Californian FB" w:hAnsi="Californian FB" w:cs="MinionPro-It"/>
          <w:bCs/>
          <w:sz w:val="24"/>
          <w:szCs w:val="24"/>
        </w:rPr>
        <w:t>In 1994, however, it fell silent, and did not decide another fair use case until 2021.  Thus, it is possible to become familiar quite quickly with all of the Supreme Court cases that lower courts could look to for guidance for over 25 years, and we will do just that.</w:t>
      </w:r>
    </w:p>
    <w:p w14:paraId="15F1705D" w14:textId="2BF4D1BE" w:rsidR="00703375" w:rsidRPr="008D2F50" w:rsidRDefault="00703375" w:rsidP="00ED6BE0">
      <w:pPr>
        <w:shd w:val="clear" w:color="auto" w:fill="FFFFFF"/>
        <w:rPr>
          <w:rFonts w:ascii="Californian FB" w:hAnsi="Californian FB" w:cs="MinionPro-It"/>
          <w:bCs/>
          <w:sz w:val="28"/>
          <w:szCs w:val="28"/>
        </w:rPr>
      </w:pPr>
      <w:r>
        <w:rPr>
          <w:rFonts w:ascii="Californian FB" w:hAnsi="Californian FB" w:cs="MinionPro-It"/>
          <w:bCs/>
          <w:sz w:val="28"/>
          <w:szCs w:val="28"/>
        </w:rPr>
        <w:t>p. 304 – change “A. The Three Supreme Court Cases” to “A. The First Three Supreme Court Cases.”</w:t>
      </w:r>
    </w:p>
    <w:p w14:paraId="035FF893" w14:textId="5E0101EC" w:rsidR="005F6079" w:rsidRPr="005F6079" w:rsidRDefault="005F6079" w:rsidP="005F6079">
      <w:pPr>
        <w:rPr>
          <w:rFonts w:ascii="Californian FB" w:hAnsi="Californian FB"/>
          <w:bCs/>
          <w:sz w:val="28"/>
          <w:szCs w:val="28"/>
        </w:rPr>
      </w:pPr>
      <w:r w:rsidRPr="005F6079">
        <w:rPr>
          <w:rFonts w:ascii="Californian FB" w:hAnsi="Californian FB"/>
          <w:bCs/>
          <w:sz w:val="28"/>
          <w:szCs w:val="28"/>
        </w:rPr>
        <w:t>p. 352 – Delete existing Note 3 and insert the following in its place</w:t>
      </w:r>
      <w:r>
        <w:rPr>
          <w:rFonts w:ascii="Californian FB" w:hAnsi="Californian FB"/>
          <w:bCs/>
          <w:sz w:val="28"/>
          <w:szCs w:val="28"/>
        </w:rPr>
        <w:t>:</w:t>
      </w:r>
    </w:p>
    <w:p w14:paraId="2569E3F7" w14:textId="5D0C0A87" w:rsidR="005F6079" w:rsidRPr="005F6079" w:rsidRDefault="005F6079" w:rsidP="005F6079">
      <w:pPr>
        <w:rPr>
          <w:rFonts w:ascii="Californian FB" w:hAnsi="Californian FB"/>
          <w:sz w:val="24"/>
          <w:szCs w:val="24"/>
        </w:rPr>
      </w:pPr>
      <w:r w:rsidRPr="005F6079">
        <w:rPr>
          <w:rFonts w:ascii="Californian FB" w:hAnsi="Californian FB"/>
          <w:b/>
          <w:sz w:val="24"/>
          <w:szCs w:val="24"/>
        </w:rPr>
        <w:t xml:space="preserve">3.   Fair Use and Parodies after </w:t>
      </w:r>
      <w:r w:rsidRPr="005F6079">
        <w:rPr>
          <w:rFonts w:ascii="Californian FB" w:hAnsi="Californian FB"/>
          <w:b/>
          <w:i/>
          <w:sz w:val="24"/>
          <w:szCs w:val="24"/>
        </w:rPr>
        <w:t>Acuff-Rose</w:t>
      </w:r>
      <w:r w:rsidRPr="005F6079">
        <w:rPr>
          <w:rFonts w:ascii="Californian FB" w:hAnsi="Californian FB"/>
          <w:b/>
          <w:sz w:val="24"/>
          <w:szCs w:val="24"/>
        </w:rPr>
        <w:t xml:space="preserve">.   </w:t>
      </w:r>
      <w:r w:rsidRPr="005F6079">
        <w:rPr>
          <w:rFonts w:ascii="Californian FB" w:hAnsi="Californian FB"/>
          <w:sz w:val="24"/>
          <w:szCs w:val="24"/>
        </w:rPr>
        <w:t>Since the Supreme Court’s clarification of the proper fair use analysis in parody cases, parodists have been able to successfully invoke the fair use doctrine in a number of cases.  Here are two examples:</w:t>
      </w:r>
    </w:p>
    <w:p w14:paraId="4B47080A" w14:textId="5BC9AC66" w:rsidR="005F6079" w:rsidRPr="005F6079" w:rsidRDefault="005F6079" w:rsidP="007F2E4C">
      <w:pPr>
        <w:pStyle w:val="ListParagraph"/>
        <w:numPr>
          <w:ilvl w:val="0"/>
          <w:numId w:val="6"/>
        </w:numPr>
        <w:spacing w:after="0" w:line="240" w:lineRule="auto"/>
        <w:ind w:left="360"/>
        <w:jc w:val="both"/>
        <w:rPr>
          <w:rFonts w:ascii="Californian FB" w:hAnsi="Californian FB"/>
          <w:sz w:val="24"/>
          <w:szCs w:val="24"/>
        </w:rPr>
      </w:pPr>
      <w:r w:rsidRPr="005F6079">
        <w:rPr>
          <w:rFonts w:ascii="Californian FB" w:hAnsi="Californian FB"/>
          <w:sz w:val="24"/>
          <w:szCs w:val="24"/>
        </w:rPr>
        <w:t xml:space="preserve">In </w:t>
      </w:r>
      <w:hyperlink r:id="rId20" w:history="1">
        <w:r w:rsidRPr="005F6079">
          <w:rPr>
            <w:rStyle w:val="Hyperlink"/>
            <w:rFonts w:ascii="Californian FB" w:hAnsi="Californian FB"/>
            <w:i/>
            <w:sz w:val="24"/>
            <w:szCs w:val="24"/>
          </w:rPr>
          <w:t>Leibovitz v. Paramount Pictures Corp.</w:t>
        </w:r>
        <w:r w:rsidRPr="005F6079">
          <w:rPr>
            <w:rStyle w:val="Hyperlink"/>
            <w:rFonts w:ascii="Californian FB" w:hAnsi="Californian FB"/>
            <w:sz w:val="24"/>
            <w:szCs w:val="24"/>
          </w:rPr>
          <w:t>, 137 F.3d 109 (2d Cir. 1998),</w:t>
        </w:r>
      </w:hyperlink>
      <w:r w:rsidRPr="005F6079">
        <w:rPr>
          <w:rFonts w:ascii="Californian FB" w:hAnsi="Californian FB"/>
          <w:sz w:val="24"/>
          <w:szCs w:val="24"/>
        </w:rPr>
        <w:t xml:space="preserve"> the Second Circuit affirmed a fair use holding in favor of defendant Paramount Pictures, the producer of “Naked Gun 33 1/3: The Final Insult.” Paramount had created a publicity poster for its movie in the style of a well-known photograph of actress Demi Moore, taken by photographer Annie Leibovitz when Moore was eight months pregnant.  The Leibovitz photo had been published on the cover of the August 1991 issue of Vanity Fair magazine. </w:t>
      </w:r>
    </w:p>
    <w:p w14:paraId="7F0C5027" w14:textId="77777777" w:rsidR="005F6079" w:rsidRPr="005F6079" w:rsidRDefault="005F6079" w:rsidP="007F2E4C">
      <w:pPr>
        <w:pStyle w:val="ListParagraph"/>
        <w:ind w:left="360"/>
        <w:rPr>
          <w:rFonts w:ascii="Californian FB" w:hAnsi="Californian FB"/>
          <w:sz w:val="24"/>
          <w:szCs w:val="24"/>
        </w:rPr>
      </w:pPr>
    </w:p>
    <w:p w14:paraId="46FA5C99" w14:textId="3AD0DB30" w:rsidR="005F6079" w:rsidRPr="005F6079" w:rsidRDefault="005F6079" w:rsidP="007F2E4C">
      <w:pPr>
        <w:pStyle w:val="ListParagraph"/>
        <w:ind w:left="360"/>
        <w:jc w:val="both"/>
        <w:rPr>
          <w:rFonts w:ascii="Californian FB" w:hAnsi="Californian FB"/>
          <w:sz w:val="24"/>
          <w:szCs w:val="24"/>
        </w:rPr>
      </w:pPr>
      <w:r w:rsidRPr="005F6079">
        <w:rPr>
          <w:rFonts w:ascii="Californian FB" w:hAnsi="Californian FB"/>
          <w:noProof/>
          <w:sz w:val="24"/>
          <w:szCs w:val="24"/>
        </w:rPr>
        <w:lastRenderedPageBreak/>
        <mc:AlternateContent>
          <mc:Choice Requires="wps">
            <w:drawing>
              <wp:anchor distT="45720" distB="45720" distL="114300" distR="114300" simplePos="0" relativeHeight="251727872" behindDoc="1" locked="0" layoutInCell="1" allowOverlap="1" wp14:anchorId="01F76BDA" wp14:editId="35E2FA96">
                <wp:simplePos x="0" y="0"/>
                <wp:positionH relativeFrom="column">
                  <wp:posOffset>3219450</wp:posOffset>
                </wp:positionH>
                <wp:positionV relativeFrom="paragraph">
                  <wp:posOffset>55880</wp:posOffset>
                </wp:positionV>
                <wp:extent cx="2682240" cy="3242945"/>
                <wp:effectExtent l="0" t="0" r="22860" b="14605"/>
                <wp:wrapTight wrapText="bothSides">
                  <wp:wrapPolygon edited="0">
                    <wp:start x="0" y="0"/>
                    <wp:lineTo x="0" y="21570"/>
                    <wp:lineTo x="21631" y="21570"/>
                    <wp:lineTo x="21631"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3242945"/>
                        </a:xfrm>
                        <a:prstGeom prst="rect">
                          <a:avLst/>
                        </a:prstGeom>
                        <a:solidFill>
                          <a:schemeClr val="accent1">
                            <a:lumMod val="40000"/>
                            <a:lumOff val="60000"/>
                          </a:schemeClr>
                        </a:solidFill>
                        <a:ln w="9525">
                          <a:solidFill>
                            <a:srgbClr val="000000"/>
                          </a:solidFill>
                          <a:miter lim="800000"/>
                          <a:headEnd/>
                          <a:tailEnd/>
                        </a:ln>
                      </wps:spPr>
                      <wps:txbx>
                        <w:txbxContent>
                          <w:p w14:paraId="1F5F7A63" w14:textId="77777777" w:rsidR="005F6079" w:rsidRPr="00E90E5A" w:rsidRDefault="005F6079" w:rsidP="005F6079">
                            <w:pPr>
                              <w:pStyle w:val="ListParagraph"/>
                              <w:ind w:left="771"/>
                              <w:rPr>
                                <w:rFonts w:ascii="Californian FB" w:hAnsi="Californian FB"/>
                                <w:b/>
                              </w:rPr>
                            </w:pPr>
                            <w:r w:rsidRPr="00E90E5A">
                              <w:rPr>
                                <w:rFonts w:ascii="Californian FB" w:hAnsi="Californian FB"/>
                                <w:b/>
                              </w:rPr>
                              <w:t>Food for Though</w:t>
                            </w:r>
                            <w:r>
                              <w:rPr>
                                <w:rFonts w:ascii="Californian FB" w:hAnsi="Californian FB"/>
                                <w:b/>
                              </w:rPr>
                              <w:t xml:space="preserve">t    </w:t>
                            </w:r>
                            <w:r w:rsidRPr="00C97C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97C66">
                              <w:rPr>
                                <w:rFonts w:ascii="Californian FB" w:hAnsi="Californian FB"/>
                                <w:b/>
                                <w:noProof/>
                              </w:rPr>
                              <w:drawing>
                                <wp:inline distT="0" distB="0" distL="0" distR="0" wp14:anchorId="24612AD2" wp14:editId="3EB46F90">
                                  <wp:extent cx="475615" cy="475615"/>
                                  <wp:effectExtent l="0" t="0" r="635" b="635"/>
                                  <wp:docPr id="44" name="Picture 44" descr="C:\Users\Craignroger\Downloads\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aignroger\Downloads\hea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14:paraId="2CE6E688" w14:textId="77777777" w:rsidR="005F6079" w:rsidRPr="00E90E5A" w:rsidRDefault="005F6079" w:rsidP="005F6079">
                            <w:pPr>
                              <w:pStyle w:val="ListParagraph"/>
                              <w:ind w:left="771"/>
                              <w:rPr>
                                <w:rFonts w:ascii="Californian FB" w:hAnsi="Californian FB"/>
                              </w:rPr>
                            </w:pPr>
                          </w:p>
                          <w:p w14:paraId="3126BC95" w14:textId="59DA6473" w:rsidR="005F6079" w:rsidRPr="003B1384" w:rsidRDefault="005F6079" w:rsidP="00811D42">
                            <w:pPr>
                              <w:pStyle w:val="ListParagraph"/>
                              <w:ind w:left="90"/>
                              <w:jc w:val="both"/>
                              <w:rPr>
                                <w:rFonts w:ascii="Californian FB" w:hAnsi="Californian FB"/>
                              </w:rPr>
                            </w:pPr>
                            <w:r w:rsidRPr="00C97C66">
                              <w:rPr>
                                <w:rFonts w:ascii="Californian FB" w:hAnsi="Californian FB"/>
                              </w:rPr>
                              <w:t xml:space="preserve">The Vanity Fair cover photograph of Demi Moore triggered a parade of pregnant actresses, models, and singers appearing nude on magazine covers. Cindy Crawford posed for W Magazine; Claudia Schiffer for Vogue; Christina Aguilera for Marie Claire; Britney Spears for Harper’s Bazaar; Monica </w:t>
                            </w:r>
                            <w:proofErr w:type="spellStart"/>
                            <w:r w:rsidRPr="00C97C66">
                              <w:rPr>
                                <w:rFonts w:ascii="Californian FB" w:hAnsi="Californian FB"/>
                              </w:rPr>
                              <w:t>Belluci</w:t>
                            </w:r>
                            <w:proofErr w:type="spellEnd"/>
                            <w:r w:rsidRPr="00C97C66">
                              <w:rPr>
                                <w:rFonts w:ascii="Californian FB" w:hAnsi="Californian FB"/>
                              </w:rPr>
                              <w:t xml:space="preserve"> for the Italian edition of Vanity Fair; Nadia </w:t>
                            </w:r>
                            <w:proofErr w:type="spellStart"/>
                            <w:r w:rsidRPr="00C97C66">
                              <w:rPr>
                                <w:rFonts w:ascii="Californian FB" w:hAnsi="Californian FB"/>
                              </w:rPr>
                              <w:t>Larguet</w:t>
                            </w:r>
                            <w:proofErr w:type="spellEnd"/>
                            <w:r w:rsidRPr="00C97C66">
                              <w:rPr>
                                <w:rFonts w:ascii="Californian FB" w:hAnsi="Californian FB"/>
                              </w:rPr>
                              <w:t xml:space="preserve"> for Femmes du Maroc. To see those covers, </w:t>
                            </w:r>
                            <w:hyperlink r:id="rId22" w:history="1">
                              <w:r w:rsidRPr="00104F5B">
                                <w:rPr>
                                  <w:rStyle w:val="Hyperlink"/>
                                  <w:rFonts w:ascii="Californian FB" w:hAnsi="Californian FB"/>
                                </w:rPr>
                                <w:t>click here</w:t>
                              </w:r>
                            </w:hyperlink>
                            <w:r w:rsidRPr="00C97C66">
                              <w:rPr>
                                <w:rFonts w:ascii="Californian FB" w:hAnsi="Californian FB"/>
                              </w:rPr>
                              <w:t>. Unlike the Naked Gun poster, none of these covers appears to be parodies. Do you think any or all of them infringe Annie Leibovitz’s photograph</w:t>
                            </w:r>
                            <w:r w:rsidRPr="00E90E5A">
                              <w:rPr>
                                <w:rFonts w:ascii="Californian FB" w:hAnsi="Californian FB"/>
                              </w:rPr>
                              <w:t>?</w:t>
                            </w:r>
                          </w:p>
                          <w:p w14:paraId="361D7D6A" w14:textId="77777777" w:rsidR="005F6079" w:rsidRDefault="005F6079" w:rsidP="005F6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76BDA" id="Text Box 2" o:spid="_x0000_s1028" type="#_x0000_t202" style="position:absolute;left:0;text-align:left;margin-left:253.5pt;margin-top:4.4pt;width:211.2pt;height:255.3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" fillcolor="#bdd6ee [1300]">
                <v:textbox>
                  <w:txbxContent>
                    <w:p w14:paraId="1F5F7A63" w14:textId="77777777" w:rsidR="005F6079" w:rsidRPr="00E90E5A" w:rsidRDefault="005F6079" w:rsidP="005F6079">
                      <w:pPr>
                        <w:pStyle w:val="ListParagraph"/>
                        <w:ind w:left="771"/>
                        <w:rPr>
                          <w:rFonts w:ascii="Californian FB" w:hAnsi="Californian FB"/>
                          <w:b/>
                        </w:rPr>
                      </w:pPr>
                      <w:r w:rsidRPr="00E90E5A">
                        <w:rPr>
                          <w:rFonts w:ascii="Californian FB" w:hAnsi="Californian FB"/>
                          <w:b/>
                        </w:rPr>
                        <w:t>Food for Though</w:t>
                      </w:r>
                      <w:r>
                        <w:rPr>
                          <w:rFonts w:ascii="Californian FB" w:hAnsi="Californian FB"/>
                          <w:b/>
                        </w:rPr>
                        <w:t xml:space="preserve">t    </w:t>
                      </w:r>
                      <w:r w:rsidRPr="00C97C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97C66">
                        <w:rPr>
                          <w:rFonts w:ascii="Californian FB" w:hAnsi="Californian FB"/>
                          <w:b/>
                          <w:noProof/>
                        </w:rPr>
                        <w:drawing>
                          <wp:inline distT="0" distB="0" distL="0" distR="0" wp14:anchorId="24612AD2" wp14:editId="3EB46F90">
                            <wp:extent cx="475615" cy="475615"/>
                            <wp:effectExtent l="0" t="0" r="635" b="635"/>
                            <wp:docPr id="44" name="Picture 44" descr="C:\Users\Craignroger\Downloads\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aignroger\Downloads\hea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p>
                    <w:p w14:paraId="2CE6E688" w14:textId="77777777" w:rsidR="005F6079" w:rsidRPr="00E90E5A" w:rsidRDefault="005F6079" w:rsidP="005F6079">
                      <w:pPr>
                        <w:pStyle w:val="ListParagraph"/>
                        <w:ind w:left="771"/>
                        <w:rPr>
                          <w:rFonts w:ascii="Californian FB" w:hAnsi="Californian FB"/>
                        </w:rPr>
                      </w:pPr>
                    </w:p>
                    <w:p w14:paraId="3126BC95" w14:textId="59DA6473" w:rsidR="005F6079" w:rsidRPr="003B1384" w:rsidRDefault="005F6079" w:rsidP="00811D42">
                      <w:pPr>
                        <w:pStyle w:val="ListParagraph"/>
                        <w:ind w:left="90"/>
                        <w:jc w:val="both"/>
                        <w:rPr>
                          <w:rFonts w:ascii="Californian FB" w:hAnsi="Californian FB"/>
                        </w:rPr>
                      </w:pPr>
                      <w:r w:rsidRPr="00C97C66">
                        <w:rPr>
                          <w:rFonts w:ascii="Californian FB" w:hAnsi="Californian FB"/>
                        </w:rPr>
                        <w:t xml:space="preserve">The Vanity Fair cover photograph of Demi Moore triggered a parade of pregnant actresses, models, and singers appearing nude on magazine covers. Cindy Crawford posed for W Magazine; Claudia Schiffer for Vogue; Christina Aguilera for Marie Claire; Britney Spears for Harper’s Bazaar; Monica </w:t>
                      </w:r>
                      <w:proofErr w:type="spellStart"/>
                      <w:r w:rsidRPr="00C97C66">
                        <w:rPr>
                          <w:rFonts w:ascii="Californian FB" w:hAnsi="Californian FB"/>
                        </w:rPr>
                        <w:t>Belluci</w:t>
                      </w:r>
                      <w:proofErr w:type="spellEnd"/>
                      <w:r w:rsidRPr="00C97C66">
                        <w:rPr>
                          <w:rFonts w:ascii="Californian FB" w:hAnsi="Californian FB"/>
                        </w:rPr>
                        <w:t xml:space="preserve"> for the Italian edition of Vanity Fair; Nadia </w:t>
                      </w:r>
                      <w:proofErr w:type="spellStart"/>
                      <w:r w:rsidRPr="00C97C66">
                        <w:rPr>
                          <w:rFonts w:ascii="Californian FB" w:hAnsi="Californian FB"/>
                        </w:rPr>
                        <w:t>Larguet</w:t>
                      </w:r>
                      <w:proofErr w:type="spellEnd"/>
                      <w:r w:rsidRPr="00C97C66">
                        <w:rPr>
                          <w:rFonts w:ascii="Californian FB" w:hAnsi="Californian FB"/>
                        </w:rPr>
                        <w:t xml:space="preserve"> for Femmes du Maroc. To see those covers, </w:t>
                      </w:r>
                      <w:hyperlink r:id="rId23" w:history="1">
                        <w:r w:rsidRPr="00104F5B">
                          <w:rPr>
                            <w:rStyle w:val="Hyperlink"/>
                            <w:rFonts w:ascii="Californian FB" w:hAnsi="Californian FB"/>
                          </w:rPr>
                          <w:t>click here</w:t>
                        </w:r>
                      </w:hyperlink>
                      <w:r w:rsidRPr="00C97C66">
                        <w:rPr>
                          <w:rFonts w:ascii="Californian FB" w:hAnsi="Californian FB"/>
                        </w:rPr>
                        <w:t>. Unlike the Naked Gun poster, none of these covers appears to be parodies. Do you think any or all of them infringe Annie Leibovitz’s photograph</w:t>
                      </w:r>
                      <w:r w:rsidRPr="00E90E5A">
                        <w:rPr>
                          <w:rFonts w:ascii="Californian FB" w:hAnsi="Californian FB"/>
                        </w:rPr>
                        <w:t>?</w:t>
                      </w:r>
                    </w:p>
                    <w:p w14:paraId="361D7D6A" w14:textId="77777777" w:rsidR="005F6079" w:rsidRDefault="005F6079" w:rsidP="005F6079"/>
                  </w:txbxContent>
                </v:textbox>
                <w10:wrap type="tight"/>
              </v:shape>
            </w:pict>
          </mc:Fallback>
        </mc:AlternateContent>
      </w:r>
      <w:r w:rsidRPr="005F6079">
        <w:rPr>
          <w:rFonts w:ascii="Californian FB" w:hAnsi="Californian FB"/>
          <w:sz w:val="24"/>
          <w:szCs w:val="24"/>
        </w:rPr>
        <w:t>Paramount had a pregnant model pose for its photograph in the same pose as Demi Moore under similar lighting, and then superimposed the head of actor Leslie Nielsen, star of the “Naked Gun” series. The Ninth Circuit found that the Paramount advertisement qualified as a parody:</w:t>
      </w:r>
    </w:p>
    <w:p w14:paraId="0DBF3273" w14:textId="77777777" w:rsidR="005F6079" w:rsidRPr="005F6079" w:rsidRDefault="005F6079" w:rsidP="007F2E4C">
      <w:pPr>
        <w:ind w:left="720" w:right="810"/>
        <w:jc w:val="both"/>
        <w:rPr>
          <w:rFonts w:ascii="Californian FB" w:hAnsi="Californian FB"/>
          <w:sz w:val="24"/>
          <w:szCs w:val="24"/>
        </w:rPr>
      </w:pPr>
      <w:r w:rsidRPr="005F6079">
        <w:rPr>
          <w:rFonts w:ascii="Californian FB" w:hAnsi="Californian FB"/>
          <w:sz w:val="24"/>
          <w:szCs w:val="24"/>
        </w:rPr>
        <w:t>[T]he ad . . . differs in a way that may reasonably be perceived as commenting, through ridicule, on what a viewer might reasonably think is the undue self-importance conveyed by the subject of the Leibovitz photograph</w:t>
      </w:r>
      <w:proofErr w:type="gramStart"/>
      <w:r w:rsidRPr="005F6079">
        <w:rPr>
          <w:rFonts w:ascii="Californian FB" w:hAnsi="Californian FB"/>
          <w:sz w:val="24"/>
          <w:szCs w:val="24"/>
        </w:rPr>
        <w:t>. . . .</w:t>
      </w:r>
      <w:proofErr w:type="gramEnd"/>
      <w:r w:rsidRPr="005F6079">
        <w:rPr>
          <w:rFonts w:ascii="Californian FB" w:hAnsi="Californian FB"/>
          <w:sz w:val="24"/>
          <w:szCs w:val="24"/>
        </w:rPr>
        <w:t xml:space="preserve"> Apart from ridiculing pretentiousness, the ad might also be reasonably perceived as interpreting the Leibovitz photograph to extol the beauty of the pregnant female body, and, rather unchivalrously, to express disagreement with this message.</w:t>
      </w:r>
    </w:p>
    <w:p w14:paraId="29EB4818" w14:textId="77777777" w:rsidR="005F6079" w:rsidRPr="005F6079" w:rsidRDefault="005F6079" w:rsidP="007F2E4C">
      <w:pPr>
        <w:ind w:left="720" w:right="810"/>
        <w:jc w:val="both"/>
        <w:rPr>
          <w:rFonts w:ascii="Californian FB" w:hAnsi="Californian FB"/>
          <w:sz w:val="24"/>
          <w:szCs w:val="24"/>
        </w:rPr>
      </w:pPr>
      <w:r w:rsidRPr="005F6079">
        <w:rPr>
          <w:rFonts w:ascii="Californian FB" w:hAnsi="Californian FB"/>
          <w:sz w:val="24"/>
          <w:szCs w:val="24"/>
        </w:rPr>
        <w:t>. . . the parodic comment of the ad might reasonably be perceived as reenforced [sic] by the kidding comments of the movie concerning pregnancy and parenthood.</w:t>
      </w:r>
    </w:p>
    <w:p w14:paraId="3472CE13" w14:textId="6C26564A" w:rsidR="005F6079" w:rsidRPr="005F6079" w:rsidRDefault="005F6079" w:rsidP="007F2E4C">
      <w:pPr>
        <w:ind w:left="270"/>
        <w:jc w:val="both"/>
        <w:rPr>
          <w:rFonts w:ascii="Californian FB" w:hAnsi="Californian FB"/>
          <w:sz w:val="24"/>
          <w:szCs w:val="24"/>
        </w:rPr>
      </w:pPr>
      <w:r w:rsidRPr="005F6079">
        <w:rPr>
          <w:rFonts w:ascii="Californian FB" w:hAnsi="Californian FB"/>
          <w:sz w:val="24"/>
          <w:szCs w:val="24"/>
        </w:rPr>
        <w:t xml:space="preserve">Finally, although the court found that Paramount had taken protectable expression from Leibovitz’s photograph, it seemed to be influenced by the fact that Leibovitz had photographed Moore in a pose that is so well known in classical art that it has its own name, “Venus </w:t>
      </w:r>
      <w:proofErr w:type="spellStart"/>
      <w:r w:rsidRPr="005F6079">
        <w:rPr>
          <w:rFonts w:ascii="Californian FB" w:hAnsi="Californian FB"/>
          <w:sz w:val="24"/>
          <w:szCs w:val="24"/>
        </w:rPr>
        <w:t>Pudica</w:t>
      </w:r>
      <w:proofErr w:type="spellEnd"/>
      <w:r w:rsidRPr="005F6079">
        <w:rPr>
          <w:rFonts w:ascii="Californian FB" w:hAnsi="Californian FB"/>
          <w:sz w:val="24"/>
          <w:szCs w:val="24"/>
        </w:rPr>
        <w:t>.” Though Sandro Botticelli by no means originated that pose, he may have painted the most famous portrayal of it in “The Birth of Venus.” The Leibovitz court commented:</w:t>
      </w:r>
    </w:p>
    <w:p w14:paraId="64550BC8" w14:textId="77777777" w:rsidR="005F6079" w:rsidRPr="005F6079" w:rsidRDefault="005F6079" w:rsidP="007F2E4C">
      <w:pPr>
        <w:ind w:left="720" w:right="810"/>
        <w:jc w:val="both"/>
        <w:rPr>
          <w:rFonts w:ascii="Californian FB" w:hAnsi="Californian FB"/>
          <w:sz w:val="24"/>
          <w:szCs w:val="24"/>
        </w:rPr>
      </w:pPr>
      <w:r w:rsidRPr="005F6079">
        <w:rPr>
          <w:rFonts w:ascii="Californian FB" w:hAnsi="Californian FB"/>
          <w:sz w:val="24"/>
          <w:szCs w:val="24"/>
        </w:rPr>
        <w:t>A photographer posing a well-known actress in a manner that calls to mind a well-known painting must expect, or at least tolerate, a parodist’s deflating ridicule.</w:t>
      </w:r>
    </w:p>
    <w:p w14:paraId="3C63610E" w14:textId="77777777" w:rsidR="005F6079" w:rsidRPr="005F6079" w:rsidRDefault="005F6079" w:rsidP="005F6079">
      <w:pPr>
        <w:ind w:left="1710" w:right="810"/>
        <w:rPr>
          <w:rFonts w:ascii="Californian FB" w:hAnsi="Californian FB"/>
          <w:sz w:val="24"/>
          <w:szCs w:val="24"/>
        </w:rPr>
      </w:pPr>
      <w:r w:rsidRPr="005F6079">
        <w:rPr>
          <w:rFonts w:ascii="Californian FB" w:hAnsi="Californian FB"/>
          <w:noProof/>
          <w:sz w:val="24"/>
          <w:szCs w:val="24"/>
        </w:rPr>
        <w:lastRenderedPageBreak/>
        <w:drawing>
          <wp:anchor distT="0" distB="0" distL="114300" distR="114300" simplePos="0" relativeHeight="251724800" behindDoc="1" locked="0" layoutInCell="1" allowOverlap="1" wp14:anchorId="3F95CFA5" wp14:editId="714BB828">
            <wp:simplePos x="0" y="0"/>
            <wp:positionH relativeFrom="column">
              <wp:posOffset>1257912</wp:posOffset>
            </wp:positionH>
            <wp:positionV relativeFrom="paragraph">
              <wp:posOffset>27838</wp:posOffset>
            </wp:positionV>
            <wp:extent cx="3498850" cy="4666615"/>
            <wp:effectExtent l="0" t="0" r="6350" b="635"/>
            <wp:wrapTight wrapText="bothSides">
              <wp:wrapPolygon edited="0">
                <wp:start x="0" y="0"/>
                <wp:lineTo x="0" y="21515"/>
                <wp:lineTo x="21522" y="21515"/>
                <wp:lineTo x="21522" y="0"/>
                <wp:lineTo x="0" y="0"/>
              </wp:wrapPolygon>
            </wp:wrapTight>
            <wp:docPr id="34" name="Picture 34" descr="C:\Users\Craignroger\Downloads\f03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ignroger\Downloads\f0355-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850" cy="466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F24D6" w14:textId="77777777" w:rsidR="005F6079" w:rsidRPr="005F6079" w:rsidRDefault="005F6079" w:rsidP="005F6079">
      <w:pPr>
        <w:ind w:left="1710" w:right="810"/>
        <w:rPr>
          <w:rFonts w:ascii="Californian FB" w:hAnsi="Californian FB"/>
          <w:sz w:val="24"/>
          <w:szCs w:val="24"/>
        </w:rPr>
      </w:pPr>
    </w:p>
    <w:p w14:paraId="4D84FBE9" w14:textId="77777777" w:rsidR="005F6079" w:rsidRPr="005F6079" w:rsidRDefault="005F6079" w:rsidP="005F6079">
      <w:pPr>
        <w:ind w:left="1710" w:right="810"/>
        <w:rPr>
          <w:rFonts w:ascii="Californian FB" w:hAnsi="Californian FB"/>
          <w:sz w:val="24"/>
          <w:szCs w:val="24"/>
        </w:rPr>
      </w:pPr>
    </w:p>
    <w:p w14:paraId="01C0EF24" w14:textId="77777777" w:rsidR="005F6079" w:rsidRPr="005F6079" w:rsidRDefault="005F6079" w:rsidP="005F6079">
      <w:pPr>
        <w:ind w:left="1710" w:right="810"/>
        <w:rPr>
          <w:rFonts w:ascii="Californian FB" w:hAnsi="Californian FB"/>
          <w:sz w:val="24"/>
          <w:szCs w:val="24"/>
        </w:rPr>
      </w:pPr>
    </w:p>
    <w:p w14:paraId="61A2F538" w14:textId="77777777" w:rsidR="005F6079" w:rsidRPr="005F6079" w:rsidRDefault="005F6079" w:rsidP="005F6079">
      <w:pPr>
        <w:ind w:left="1710" w:right="810"/>
        <w:rPr>
          <w:rFonts w:ascii="Californian FB" w:hAnsi="Californian FB"/>
          <w:sz w:val="24"/>
          <w:szCs w:val="24"/>
        </w:rPr>
      </w:pPr>
    </w:p>
    <w:p w14:paraId="43A64794" w14:textId="77777777" w:rsidR="005F6079" w:rsidRPr="005F6079" w:rsidRDefault="005F6079" w:rsidP="005F6079">
      <w:pPr>
        <w:rPr>
          <w:rFonts w:ascii="Californian FB" w:hAnsi="Californian FB"/>
          <w:b/>
          <w:sz w:val="24"/>
          <w:szCs w:val="24"/>
        </w:rPr>
      </w:pPr>
      <w:r w:rsidRPr="005F6079">
        <w:rPr>
          <w:rFonts w:ascii="Californian FB" w:hAnsi="Californian FB"/>
          <w:b/>
          <w:sz w:val="24"/>
          <w:szCs w:val="24"/>
        </w:rPr>
        <w:tab/>
      </w:r>
    </w:p>
    <w:p w14:paraId="5D14C843" w14:textId="77777777" w:rsidR="005F6079" w:rsidRPr="005F6079" w:rsidRDefault="005F6079" w:rsidP="005F6079">
      <w:pPr>
        <w:rPr>
          <w:rFonts w:ascii="Californian FB" w:hAnsi="Californian FB"/>
          <w:b/>
          <w:sz w:val="24"/>
          <w:szCs w:val="24"/>
        </w:rPr>
      </w:pPr>
    </w:p>
    <w:p w14:paraId="0153A7D5" w14:textId="77777777" w:rsidR="005F6079" w:rsidRPr="005F6079" w:rsidRDefault="005F6079" w:rsidP="005F6079">
      <w:pPr>
        <w:rPr>
          <w:rFonts w:ascii="Californian FB" w:hAnsi="Californian FB"/>
          <w:b/>
          <w:sz w:val="24"/>
          <w:szCs w:val="24"/>
        </w:rPr>
      </w:pPr>
      <w:r w:rsidRPr="005F6079">
        <w:rPr>
          <w:rFonts w:ascii="Californian FB" w:hAnsi="Californian FB"/>
          <w:b/>
          <w:sz w:val="24"/>
          <w:szCs w:val="24"/>
        </w:rPr>
        <w:tab/>
      </w:r>
    </w:p>
    <w:p w14:paraId="015A42AA" w14:textId="77777777" w:rsidR="005F6079" w:rsidRPr="005F6079" w:rsidRDefault="005F6079" w:rsidP="005F6079">
      <w:pPr>
        <w:rPr>
          <w:rFonts w:ascii="Californian FB" w:hAnsi="Californian FB"/>
          <w:b/>
          <w:sz w:val="24"/>
          <w:szCs w:val="24"/>
        </w:rPr>
      </w:pPr>
    </w:p>
    <w:p w14:paraId="7EBC34A5" w14:textId="77777777" w:rsidR="005F6079" w:rsidRPr="005F6079" w:rsidRDefault="005F6079" w:rsidP="005F6079">
      <w:pPr>
        <w:rPr>
          <w:rFonts w:ascii="Californian FB" w:hAnsi="Californian FB"/>
          <w:b/>
          <w:sz w:val="24"/>
          <w:szCs w:val="24"/>
        </w:rPr>
      </w:pPr>
    </w:p>
    <w:p w14:paraId="153C8ED2" w14:textId="77777777" w:rsidR="005F6079" w:rsidRPr="005F6079" w:rsidRDefault="005F6079" w:rsidP="005F6079">
      <w:pPr>
        <w:rPr>
          <w:rFonts w:ascii="Californian FB" w:hAnsi="Californian FB"/>
          <w:b/>
          <w:sz w:val="24"/>
          <w:szCs w:val="24"/>
        </w:rPr>
      </w:pPr>
    </w:p>
    <w:p w14:paraId="4F3FD698" w14:textId="77777777" w:rsidR="005F6079" w:rsidRPr="005F6079" w:rsidRDefault="005F6079" w:rsidP="005F6079">
      <w:pPr>
        <w:rPr>
          <w:rFonts w:ascii="Californian FB" w:hAnsi="Californian FB"/>
          <w:b/>
          <w:sz w:val="24"/>
          <w:szCs w:val="24"/>
        </w:rPr>
      </w:pPr>
    </w:p>
    <w:p w14:paraId="5F1869EC" w14:textId="77777777" w:rsidR="005F6079" w:rsidRPr="005F6079" w:rsidRDefault="005F6079" w:rsidP="005F6079">
      <w:pPr>
        <w:rPr>
          <w:rFonts w:ascii="Californian FB" w:hAnsi="Californian FB"/>
          <w:b/>
          <w:sz w:val="24"/>
          <w:szCs w:val="24"/>
        </w:rPr>
      </w:pPr>
    </w:p>
    <w:p w14:paraId="46A4615E" w14:textId="77777777" w:rsidR="005F6079" w:rsidRPr="005F6079" w:rsidRDefault="005F6079" w:rsidP="005F6079">
      <w:pPr>
        <w:rPr>
          <w:rFonts w:ascii="Californian FB" w:hAnsi="Californian FB"/>
          <w:b/>
          <w:sz w:val="24"/>
          <w:szCs w:val="24"/>
        </w:rPr>
      </w:pPr>
    </w:p>
    <w:p w14:paraId="2B383CCD" w14:textId="77777777" w:rsidR="005F6079" w:rsidRPr="005F6079" w:rsidRDefault="005F6079" w:rsidP="005F6079">
      <w:pPr>
        <w:rPr>
          <w:rFonts w:ascii="Californian FB" w:hAnsi="Californian FB"/>
          <w:b/>
          <w:sz w:val="24"/>
          <w:szCs w:val="24"/>
        </w:rPr>
      </w:pPr>
    </w:p>
    <w:p w14:paraId="27813C4C" w14:textId="77777777" w:rsidR="005F6079" w:rsidRPr="005F6079" w:rsidRDefault="005F6079" w:rsidP="005F6079">
      <w:pPr>
        <w:rPr>
          <w:rFonts w:ascii="Californian FB" w:hAnsi="Californian FB"/>
          <w:b/>
          <w:sz w:val="24"/>
          <w:szCs w:val="24"/>
        </w:rPr>
      </w:pPr>
    </w:p>
    <w:p w14:paraId="23F2EF73" w14:textId="77777777" w:rsidR="005F6079" w:rsidRPr="005F6079" w:rsidRDefault="005F6079" w:rsidP="005F6079">
      <w:pPr>
        <w:rPr>
          <w:rFonts w:ascii="Californian FB" w:hAnsi="Californian FB"/>
          <w:b/>
          <w:sz w:val="24"/>
          <w:szCs w:val="24"/>
        </w:rPr>
      </w:pPr>
    </w:p>
    <w:p w14:paraId="182CA901" w14:textId="77777777" w:rsidR="005F6079" w:rsidRPr="005F6079" w:rsidRDefault="005F6079" w:rsidP="005F6079">
      <w:pPr>
        <w:jc w:val="center"/>
        <w:rPr>
          <w:rFonts w:ascii="Californian FB" w:hAnsi="Californian FB"/>
          <w:b/>
          <w:sz w:val="24"/>
          <w:szCs w:val="24"/>
        </w:rPr>
      </w:pPr>
      <w:r w:rsidRPr="005F6079">
        <w:rPr>
          <w:rFonts w:ascii="Californian FB" w:hAnsi="Californian FB"/>
          <w:b/>
          <w:i/>
          <w:iCs/>
          <w:sz w:val="24"/>
          <w:szCs w:val="24"/>
        </w:rPr>
        <w:t xml:space="preserve">Four Venus </w:t>
      </w:r>
      <w:proofErr w:type="spellStart"/>
      <w:r w:rsidRPr="005F6079">
        <w:rPr>
          <w:rFonts w:ascii="Californian FB" w:hAnsi="Californian FB"/>
          <w:b/>
          <w:i/>
          <w:iCs/>
          <w:sz w:val="24"/>
          <w:szCs w:val="24"/>
        </w:rPr>
        <w:t>Pudicas</w:t>
      </w:r>
      <w:proofErr w:type="spellEnd"/>
      <w:r w:rsidRPr="005F6079">
        <w:rPr>
          <w:rFonts w:ascii="Californian FB" w:hAnsi="Californian FB"/>
          <w:b/>
          <w:i/>
          <w:iCs/>
          <w:sz w:val="24"/>
          <w:szCs w:val="24"/>
        </w:rPr>
        <w:t>:</w:t>
      </w:r>
    </w:p>
    <w:p w14:paraId="045C53D3" w14:textId="77777777" w:rsidR="005F6079" w:rsidRPr="005F6079" w:rsidRDefault="005F6079" w:rsidP="005F6079">
      <w:pPr>
        <w:jc w:val="center"/>
        <w:rPr>
          <w:rFonts w:ascii="Californian FB" w:hAnsi="Californian FB"/>
          <w:b/>
          <w:sz w:val="24"/>
          <w:szCs w:val="24"/>
        </w:rPr>
      </w:pPr>
      <w:r w:rsidRPr="005F6079">
        <w:rPr>
          <w:rFonts w:ascii="Californian FB" w:hAnsi="Californian FB"/>
          <w:b/>
          <w:i/>
          <w:iCs/>
          <w:sz w:val="24"/>
          <w:szCs w:val="24"/>
        </w:rPr>
        <w:t>Sandro Botticelli, “The Birth of Venus”; Annie Leibovitz, photograph of Demi Moore for the cover of the August 1991 issue of Vanity Fair; Paramount Pictures, poster for “Naked Gun 33 1/3 The Final Insult”; Photo illustration by Darrow, photographs by Danny Kim for the cover of the October 3, 2011 issue of New York Magazine</w:t>
      </w:r>
    </w:p>
    <w:p w14:paraId="77BF2692" w14:textId="62E79BBF" w:rsidR="005F6079" w:rsidRPr="005F6079" w:rsidRDefault="005F6079" w:rsidP="007F2E4C">
      <w:pPr>
        <w:pStyle w:val="ListParagraph"/>
        <w:numPr>
          <w:ilvl w:val="0"/>
          <w:numId w:val="6"/>
        </w:numPr>
        <w:spacing w:after="120" w:line="240" w:lineRule="auto"/>
        <w:ind w:left="360"/>
        <w:contextualSpacing w:val="0"/>
        <w:jc w:val="both"/>
        <w:rPr>
          <w:rFonts w:ascii="Californian FB" w:hAnsi="Californian FB"/>
          <w:sz w:val="24"/>
          <w:szCs w:val="24"/>
        </w:rPr>
      </w:pPr>
      <w:r w:rsidRPr="005F6079">
        <w:rPr>
          <w:rFonts w:ascii="Californian FB" w:hAnsi="Californian FB"/>
          <w:sz w:val="24"/>
          <w:szCs w:val="24"/>
        </w:rPr>
        <w:t xml:space="preserve">In </w:t>
      </w:r>
      <w:hyperlink r:id="rId25" w:history="1">
        <w:r w:rsidRPr="005F6079">
          <w:rPr>
            <w:rStyle w:val="Hyperlink"/>
            <w:rFonts w:ascii="Californian FB" w:hAnsi="Californian FB"/>
            <w:sz w:val="24"/>
            <w:szCs w:val="24"/>
          </w:rPr>
          <w:t>Lombardo v. Dr. Seuss Enterprises, L.P., 279 F.Supp.3d 497 (S.D.N.Y 2017)</w:t>
        </w:r>
      </w:hyperlink>
      <w:r w:rsidRPr="005F6079">
        <w:rPr>
          <w:rFonts w:ascii="Californian FB" w:hAnsi="Californian FB"/>
          <w:sz w:val="24"/>
          <w:szCs w:val="24"/>
        </w:rPr>
        <w:t xml:space="preserve">, Lombardo’s work was a stage play that purportedly parodied </w:t>
      </w:r>
      <w:r w:rsidRPr="005F6079">
        <w:rPr>
          <w:rFonts w:ascii="Californian FB" w:hAnsi="Californian FB"/>
          <w:i/>
          <w:sz w:val="24"/>
          <w:szCs w:val="24"/>
        </w:rPr>
        <w:t>How the Grinch Stole Christmas</w:t>
      </w:r>
      <w:r w:rsidRPr="005F6079">
        <w:rPr>
          <w:rFonts w:ascii="Californian FB" w:hAnsi="Californian FB"/>
          <w:sz w:val="24"/>
          <w:szCs w:val="24"/>
        </w:rPr>
        <w:t xml:space="preserve"> by Dr. Seuss.  The play, called </w:t>
      </w:r>
      <w:proofErr w:type="gramStart"/>
      <w:r w:rsidRPr="005F6079">
        <w:rPr>
          <w:rFonts w:ascii="Californian FB" w:hAnsi="Californian FB"/>
          <w:i/>
          <w:sz w:val="24"/>
          <w:szCs w:val="24"/>
        </w:rPr>
        <w:t>Who’s</w:t>
      </w:r>
      <w:proofErr w:type="gramEnd"/>
      <w:r w:rsidRPr="005F6079">
        <w:rPr>
          <w:rFonts w:ascii="Californian FB" w:hAnsi="Californian FB"/>
          <w:i/>
          <w:sz w:val="24"/>
          <w:szCs w:val="24"/>
        </w:rPr>
        <w:t xml:space="preserve"> Holiday, </w:t>
      </w:r>
      <w:r w:rsidRPr="005F6079">
        <w:rPr>
          <w:rFonts w:ascii="Californian FB" w:hAnsi="Californian FB"/>
          <w:sz w:val="24"/>
          <w:szCs w:val="24"/>
        </w:rPr>
        <w:t xml:space="preserve">featured a single performer playing the role of, as the court put it, “a rather down and out 45 year-old version of Cindy Lou Who,” a character who appeared in the original </w:t>
      </w:r>
      <w:r w:rsidRPr="005F6079">
        <w:rPr>
          <w:rFonts w:ascii="Californian FB" w:hAnsi="Californian FB"/>
          <w:i/>
          <w:sz w:val="24"/>
          <w:szCs w:val="24"/>
        </w:rPr>
        <w:t>Grinch</w:t>
      </w:r>
      <w:r w:rsidRPr="005F6079">
        <w:rPr>
          <w:rFonts w:ascii="Californian FB" w:hAnsi="Californian FB"/>
          <w:sz w:val="24"/>
          <w:szCs w:val="24"/>
        </w:rPr>
        <w:t xml:space="preserve"> story as an innocent two-year old girl.  The following from the court’s opinion gives the flavor of defendant’s work:</w:t>
      </w:r>
    </w:p>
    <w:p w14:paraId="21E333EE" w14:textId="77777777" w:rsidR="005F6079" w:rsidRPr="005F6079" w:rsidRDefault="005F6079" w:rsidP="007F2E4C">
      <w:pPr>
        <w:pStyle w:val="ListParagraph"/>
        <w:spacing w:after="120"/>
        <w:ind w:right="1080"/>
        <w:contextualSpacing w:val="0"/>
        <w:jc w:val="both"/>
        <w:rPr>
          <w:rFonts w:ascii="Californian FB" w:hAnsi="Californian FB"/>
          <w:sz w:val="24"/>
          <w:szCs w:val="24"/>
        </w:rPr>
      </w:pPr>
      <w:r w:rsidRPr="005F6079">
        <w:rPr>
          <w:rFonts w:ascii="Californian FB" w:hAnsi="Californian FB"/>
          <w:sz w:val="24"/>
          <w:szCs w:val="24"/>
        </w:rPr>
        <w:t xml:space="preserve">Throughout the Play, as she shares her history, Cindy–Lou drinks hard alcohol, abuses prescription pills, and smokes a substance she identifies as “Who Hash,” which she describes as just “like a prescription” which keeps her in check to avoid a “conniption.” She engages in this self-medication following her </w:t>
      </w:r>
      <w:r w:rsidRPr="005F6079">
        <w:rPr>
          <w:rFonts w:ascii="Californian FB" w:hAnsi="Californian FB"/>
          <w:sz w:val="24"/>
          <w:szCs w:val="24"/>
        </w:rPr>
        <w:lastRenderedPageBreak/>
        <w:t xml:space="preserve">realization that none of the guests she invited to her party is likely to attend, as they keep calling throughout the Play to cancel. </w:t>
      </w:r>
    </w:p>
    <w:p w14:paraId="0ED41A47" w14:textId="605B08AD" w:rsidR="005F6079" w:rsidRPr="005F6079" w:rsidRDefault="005F6079" w:rsidP="007F2E4C">
      <w:pPr>
        <w:pStyle w:val="ListParagraph"/>
        <w:spacing w:after="120"/>
        <w:ind w:right="1080"/>
        <w:contextualSpacing w:val="0"/>
        <w:jc w:val="both"/>
        <w:rPr>
          <w:rFonts w:ascii="Californian FB" w:hAnsi="Californian FB"/>
          <w:sz w:val="24"/>
          <w:szCs w:val="24"/>
        </w:rPr>
      </w:pPr>
      <w:r w:rsidRPr="005F6079">
        <w:rPr>
          <w:rFonts w:ascii="Californian FB" w:hAnsi="Californian FB"/>
          <w:sz w:val="24"/>
          <w:szCs w:val="24"/>
        </w:rPr>
        <w:t>As Cindy–Lou recounts her initial encounter with the Grinch and his subsequent change of heart, paralleling the plot of the original </w:t>
      </w:r>
      <w:r w:rsidRPr="005F6079">
        <w:rPr>
          <w:rFonts w:ascii="Californian FB" w:hAnsi="Californian FB"/>
          <w:i/>
          <w:iCs/>
          <w:sz w:val="24"/>
          <w:szCs w:val="24"/>
        </w:rPr>
        <w:t>Grinch,</w:t>
      </w:r>
      <w:r w:rsidRPr="005F6079">
        <w:rPr>
          <w:rFonts w:ascii="Californian FB" w:hAnsi="Californian FB"/>
          <w:sz w:val="24"/>
          <w:szCs w:val="24"/>
        </w:rPr>
        <w:t> she incorporates age-inappropriate language and details that do not appear in the original work</w:t>
      </w:r>
      <w:r w:rsidR="007F2E4C">
        <w:rPr>
          <w:rFonts w:ascii="Californian FB" w:hAnsi="Californian FB"/>
          <w:sz w:val="24"/>
          <w:szCs w:val="24"/>
        </w:rPr>
        <w:t>.</w:t>
      </w:r>
    </w:p>
    <w:p w14:paraId="0A4A7859" w14:textId="77777777" w:rsidR="005F6079" w:rsidRPr="005F6079" w:rsidRDefault="005F6079" w:rsidP="007F2E4C">
      <w:pPr>
        <w:pStyle w:val="ListParagraph"/>
        <w:ind w:left="0"/>
        <w:jc w:val="both"/>
        <w:rPr>
          <w:rFonts w:ascii="Californian FB" w:hAnsi="Californian FB"/>
          <w:sz w:val="24"/>
          <w:szCs w:val="24"/>
        </w:rPr>
      </w:pPr>
      <w:r w:rsidRPr="005F6079">
        <w:rPr>
          <w:rFonts w:ascii="Californian FB" w:hAnsi="Californian FB"/>
          <w:sz w:val="24"/>
          <w:szCs w:val="24"/>
        </w:rPr>
        <w:t>Lombardo sought a declaratory judgment that the play was non-infringing because it fell within the parameters of fair use.  The court concluded that the work was indeed a parody because it</w:t>
      </w:r>
    </w:p>
    <w:p w14:paraId="66DC6152" w14:textId="77777777" w:rsidR="005F6079" w:rsidRPr="005F6079" w:rsidRDefault="005F6079" w:rsidP="007F2E4C">
      <w:pPr>
        <w:ind w:left="540" w:right="1080"/>
        <w:jc w:val="both"/>
        <w:rPr>
          <w:rFonts w:ascii="Californian FB" w:hAnsi="Californian FB"/>
          <w:sz w:val="24"/>
          <w:szCs w:val="24"/>
        </w:rPr>
      </w:pPr>
      <w:r w:rsidRPr="005F6079">
        <w:rPr>
          <w:rFonts w:ascii="Californian FB" w:hAnsi="Californian FB"/>
          <w:sz w:val="24"/>
          <w:szCs w:val="24"/>
        </w:rPr>
        <w:t>recontextualizes </w:t>
      </w:r>
      <w:r w:rsidRPr="005F6079">
        <w:rPr>
          <w:rFonts w:ascii="Californian FB" w:hAnsi="Californian FB"/>
          <w:i/>
          <w:iCs/>
          <w:sz w:val="24"/>
          <w:szCs w:val="24"/>
        </w:rPr>
        <w:t>Grinch's</w:t>
      </w:r>
      <w:r w:rsidRPr="005F6079">
        <w:rPr>
          <w:rFonts w:ascii="Californian FB" w:hAnsi="Californian FB"/>
          <w:sz w:val="24"/>
          <w:szCs w:val="24"/>
        </w:rPr>
        <w:t> easily-recognizable plot and rhyming style by placing Cindy–Lou Who—a symbol of childhood innocence and naiveté—in outlandish, profanity-laden, adult-themed scenarios involving topics such as poverty, teen-age pregnancy, drug and alcohol abuse, prison culture, and murder. In so doing, the Play subverts the expectations of the Seussian genre, and lampoons the </w:t>
      </w:r>
      <w:r w:rsidRPr="005F6079">
        <w:rPr>
          <w:rFonts w:ascii="Californian FB" w:hAnsi="Californian FB"/>
          <w:i/>
          <w:iCs/>
          <w:sz w:val="24"/>
          <w:szCs w:val="24"/>
        </w:rPr>
        <w:t>Grinch</w:t>
      </w:r>
      <w:r w:rsidRPr="005F6079">
        <w:rPr>
          <w:rFonts w:ascii="Californian FB" w:hAnsi="Californian FB"/>
          <w:sz w:val="24"/>
          <w:szCs w:val="24"/>
        </w:rPr>
        <w:t xml:space="preserve"> by making Cindy–Lou's naiveté, </w:t>
      </w:r>
      <w:proofErr w:type="gramStart"/>
      <w:r w:rsidRPr="005F6079">
        <w:rPr>
          <w:rFonts w:ascii="Californian FB" w:hAnsi="Californian FB"/>
          <w:sz w:val="24"/>
          <w:szCs w:val="24"/>
        </w:rPr>
        <w:t>Who</w:t>
      </w:r>
      <w:proofErr w:type="gramEnd"/>
      <w:r w:rsidRPr="005F6079">
        <w:rPr>
          <w:rFonts w:ascii="Californian FB" w:hAnsi="Californian FB"/>
          <w:sz w:val="24"/>
          <w:szCs w:val="24"/>
        </w:rPr>
        <w:t>–Ville's endlessly-smiling, problem-free citizens, and Dr. Seuss' rhyming innocence, all appear ridiculous.</w:t>
      </w:r>
    </w:p>
    <w:p w14:paraId="0509878F" w14:textId="77777777" w:rsidR="005F6079" w:rsidRPr="005F6079" w:rsidRDefault="005F6079" w:rsidP="007F2E4C">
      <w:pPr>
        <w:pStyle w:val="ListParagraph"/>
        <w:ind w:left="540" w:right="1080"/>
        <w:jc w:val="both"/>
        <w:rPr>
          <w:rFonts w:ascii="Californian FB" w:hAnsi="Californian FB"/>
          <w:sz w:val="24"/>
          <w:szCs w:val="24"/>
        </w:rPr>
      </w:pPr>
      <w:r w:rsidRPr="005F6079">
        <w:rPr>
          <w:rFonts w:ascii="Californian FB" w:hAnsi="Californian FB"/>
          <w:sz w:val="24"/>
          <w:szCs w:val="24"/>
        </w:rPr>
        <w:t xml:space="preserve">*  *  *  </w:t>
      </w:r>
    </w:p>
    <w:p w14:paraId="3E97975F" w14:textId="558E92FE" w:rsidR="005F6079" w:rsidRPr="005F6079" w:rsidRDefault="005F6079" w:rsidP="007F2E4C">
      <w:pPr>
        <w:pStyle w:val="ListParagraph"/>
        <w:ind w:left="540" w:right="1080"/>
        <w:jc w:val="both"/>
        <w:rPr>
          <w:rFonts w:ascii="Californian FB" w:hAnsi="Californian FB"/>
          <w:sz w:val="24"/>
          <w:szCs w:val="24"/>
        </w:rPr>
      </w:pPr>
      <w:r w:rsidRPr="005F6079">
        <w:rPr>
          <w:rFonts w:ascii="Californian FB" w:hAnsi="Californian FB"/>
          <w:sz w:val="24"/>
          <w:szCs w:val="24"/>
        </w:rPr>
        <w:t xml:space="preserve">In the Play, </w:t>
      </w:r>
      <w:proofErr w:type="gramStart"/>
      <w:r w:rsidRPr="005F6079">
        <w:rPr>
          <w:rFonts w:ascii="Californian FB" w:hAnsi="Californian FB"/>
          <w:sz w:val="24"/>
          <w:szCs w:val="24"/>
        </w:rPr>
        <w:t>Who</w:t>
      </w:r>
      <w:proofErr w:type="gramEnd"/>
      <w:r w:rsidRPr="005F6079">
        <w:rPr>
          <w:rFonts w:ascii="Californian FB" w:hAnsi="Californian FB"/>
          <w:sz w:val="24"/>
          <w:szCs w:val="24"/>
        </w:rPr>
        <w:t xml:space="preserve">–Ville is no longer a place where people can overcome adversity by smiling and singing together. Who–Ville is now a place where young women are impregnated by green beasts, families struggle to put food on the table, paparazzi run rabid, and citizens get high on “Who Hash” to escape problems of daily </w:t>
      </w:r>
      <w:proofErr w:type="gramStart"/>
      <w:r w:rsidRPr="005F6079">
        <w:rPr>
          <w:rFonts w:ascii="Californian FB" w:hAnsi="Californian FB"/>
          <w:sz w:val="24"/>
          <w:szCs w:val="24"/>
        </w:rPr>
        <w:t>life.</w:t>
      </w:r>
      <w:proofErr w:type="gramEnd"/>
    </w:p>
    <w:p w14:paraId="5896F565" w14:textId="569CDB13" w:rsidR="005F6079" w:rsidRPr="005F6079" w:rsidRDefault="005F6079" w:rsidP="005F6079">
      <w:pPr>
        <w:pStyle w:val="ListParagraph"/>
        <w:ind w:left="1890" w:right="1080"/>
        <w:jc w:val="both"/>
        <w:rPr>
          <w:rFonts w:ascii="Californian FB" w:hAnsi="Californian FB"/>
          <w:sz w:val="24"/>
          <w:szCs w:val="24"/>
        </w:rPr>
      </w:pPr>
    </w:p>
    <w:p w14:paraId="32511462" w14:textId="0D5EDA59" w:rsidR="005F6079" w:rsidRPr="005F6079" w:rsidRDefault="007F2E4C" w:rsidP="007F2E4C">
      <w:pPr>
        <w:pStyle w:val="ListParagraph"/>
        <w:ind w:left="0"/>
        <w:jc w:val="both"/>
        <w:rPr>
          <w:rFonts w:ascii="Californian FB" w:hAnsi="Californian FB"/>
          <w:b/>
          <w:sz w:val="24"/>
          <w:szCs w:val="24"/>
        </w:rPr>
      </w:pPr>
      <w:r w:rsidRPr="005F6079">
        <w:rPr>
          <w:rFonts w:ascii="Californian FB" w:hAnsi="Californian FB"/>
          <w:noProof/>
          <w:sz w:val="24"/>
          <w:szCs w:val="24"/>
        </w:rPr>
        <mc:AlternateContent>
          <mc:Choice Requires="wps">
            <w:drawing>
              <wp:anchor distT="0" distB="0" distL="114300" distR="114300" simplePos="0" relativeHeight="251728896" behindDoc="1" locked="0" layoutInCell="1" allowOverlap="1" wp14:anchorId="00E4D58A" wp14:editId="53F59A73">
                <wp:simplePos x="0" y="0"/>
                <wp:positionH relativeFrom="margin">
                  <wp:posOffset>3833495</wp:posOffset>
                </wp:positionH>
                <wp:positionV relativeFrom="paragraph">
                  <wp:posOffset>55245</wp:posOffset>
                </wp:positionV>
                <wp:extent cx="2013585" cy="2271395"/>
                <wp:effectExtent l="0" t="0" r="24765" b="14605"/>
                <wp:wrapSquare wrapText="bothSides"/>
                <wp:docPr id="10" name="Text Box 10"/>
                <wp:cNvGraphicFramePr/>
                <a:graphic xmlns:a="http://schemas.openxmlformats.org/drawingml/2006/main">
                  <a:graphicData uri="http://schemas.microsoft.com/office/word/2010/wordprocessingShape">
                    <wps:wsp>
                      <wps:cNvSpPr txBox="1"/>
                      <wps:spPr>
                        <a:xfrm>
                          <a:off x="0" y="0"/>
                          <a:ext cx="2013585" cy="2271395"/>
                        </a:xfrm>
                        <a:prstGeom prst="rect">
                          <a:avLst/>
                        </a:prstGeom>
                        <a:solidFill>
                          <a:srgbClr val="5B9BD5">
                            <a:lumMod val="40000"/>
                            <a:lumOff val="60000"/>
                          </a:srgbClr>
                        </a:solidFill>
                        <a:ln w="6350">
                          <a:solidFill>
                            <a:srgbClr val="5B9BD5">
                              <a:lumMod val="40000"/>
                              <a:lumOff val="60000"/>
                            </a:srgbClr>
                          </a:solidFill>
                        </a:ln>
                        <a:effectLst/>
                      </wps:spPr>
                      <wps:txbx>
                        <w:txbxContent>
                          <w:p w14:paraId="2B28C6C6" w14:textId="77777777" w:rsidR="005F6079" w:rsidRPr="002F2F89" w:rsidRDefault="005F6079" w:rsidP="005F6079">
                            <w:pPr>
                              <w:jc w:val="center"/>
                              <w:rPr>
                                <w:rFonts w:ascii="Californian FB" w:hAnsi="Californian FB"/>
                                <w:b/>
                              </w:rPr>
                            </w:pPr>
                            <w:r>
                              <w:rPr>
                                <w:rFonts w:ascii="Californian FB" w:hAnsi="Californian FB"/>
                                <w:b/>
                              </w:rPr>
                              <w:t>SEE IT</w:t>
                            </w:r>
                          </w:p>
                          <w:p w14:paraId="565E5D24" w14:textId="52F5079E" w:rsidR="005F6079" w:rsidRPr="009234EA" w:rsidRDefault="005F6079" w:rsidP="005F6079">
                            <w:pPr>
                              <w:rPr>
                                <w:rFonts w:ascii="Californian FB" w:hAnsi="Californian FB"/>
                                <w:i/>
                              </w:rPr>
                            </w:pPr>
                            <w:r w:rsidRPr="009234EA">
                              <w:rPr>
                                <w:rFonts w:ascii="Californian FB" w:hAnsi="Californian FB"/>
                              </w:rPr>
                              <w:t xml:space="preserve">If you would like to see a short montage of clips from Who’s Holiday, you can </w:t>
                            </w:r>
                            <w:hyperlink r:id="rId26" w:history="1">
                              <w:r w:rsidRPr="009234EA">
                                <w:rPr>
                                  <w:rStyle w:val="Hyperlink"/>
                                  <w:rFonts w:ascii="Californian FB" w:hAnsi="Californian FB"/>
                                </w:rPr>
                                <w:t xml:space="preserve">click here. </w:t>
                              </w:r>
                            </w:hyperlink>
                            <w:r w:rsidRPr="009234EA">
                              <w:rPr>
                                <w:rFonts w:ascii="Californian FB" w:hAnsi="Californian FB"/>
                              </w:rPr>
                              <w:t xml:space="preserve">If you’d like to relive a slice of your childhood, or if you are reviewing these materials near the end of the fall semester, you can </w:t>
                            </w:r>
                            <w:hyperlink r:id="rId27" w:history="1">
                              <w:r w:rsidRPr="009234EA">
                                <w:rPr>
                                  <w:rStyle w:val="Hyperlink"/>
                                  <w:rFonts w:ascii="Californian FB" w:hAnsi="Californian FB"/>
                                </w:rPr>
                                <w:t>click here</w:t>
                              </w:r>
                            </w:hyperlink>
                            <w:r w:rsidRPr="009234EA">
                              <w:rPr>
                                <w:rFonts w:ascii="Californian FB" w:hAnsi="Californian FB"/>
                              </w:rPr>
                              <w:t xml:space="preserve"> to get in the spirit of the season and </w:t>
                            </w:r>
                            <w:r>
                              <w:rPr>
                                <w:rFonts w:ascii="Californian FB" w:hAnsi="Californian FB"/>
                              </w:rPr>
                              <w:t>watch an excerpt from</w:t>
                            </w:r>
                            <w:r w:rsidRPr="009234EA">
                              <w:rPr>
                                <w:rFonts w:ascii="Californian FB" w:hAnsi="Californian FB"/>
                              </w:rPr>
                              <w:t xml:space="preserve"> </w:t>
                            </w:r>
                            <w:r w:rsidRPr="009234EA">
                              <w:rPr>
                                <w:rFonts w:ascii="Californian FB" w:hAnsi="Californian FB"/>
                                <w:i/>
                              </w:rPr>
                              <w:t>The Grinch Who Stole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D58A" id="Text Box 10" o:spid="_x0000_s1029" type="#_x0000_t202" style="position:absolute;left:0;text-align:left;margin-left:301.85pt;margin-top:4.35pt;width:158.55pt;height:178.8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" fillcolor="#bdd7ee" strokecolor="#bdd7ee" strokeweight=".5pt">
                <v:textbox>
                  <w:txbxContent>
                    <w:p w14:paraId="2B28C6C6" w14:textId="77777777" w:rsidR="005F6079" w:rsidRPr="002F2F89" w:rsidRDefault="005F6079" w:rsidP="005F6079">
                      <w:pPr>
                        <w:jc w:val="center"/>
                        <w:rPr>
                          <w:rFonts w:ascii="Californian FB" w:hAnsi="Californian FB"/>
                          <w:b/>
                        </w:rPr>
                      </w:pPr>
                      <w:r>
                        <w:rPr>
                          <w:rFonts w:ascii="Californian FB" w:hAnsi="Californian FB"/>
                          <w:b/>
                        </w:rPr>
                        <w:t>SEE IT</w:t>
                      </w:r>
                    </w:p>
                    <w:p w14:paraId="565E5D24" w14:textId="52F5079E" w:rsidR="005F6079" w:rsidRPr="009234EA" w:rsidRDefault="005F6079" w:rsidP="005F6079">
                      <w:pPr>
                        <w:rPr>
                          <w:rFonts w:ascii="Californian FB" w:hAnsi="Californian FB"/>
                          <w:i/>
                        </w:rPr>
                      </w:pPr>
                      <w:r w:rsidRPr="009234EA">
                        <w:rPr>
                          <w:rFonts w:ascii="Californian FB" w:hAnsi="Californian FB"/>
                        </w:rPr>
                        <w:t xml:space="preserve">If you would like to see a short montage of clips from Who’s Holiday, you can </w:t>
                      </w:r>
                      <w:hyperlink r:id="rId28" w:history="1">
                        <w:r w:rsidRPr="009234EA">
                          <w:rPr>
                            <w:rStyle w:val="Hyperlink"/>
                            <w:rFonts w:ascii="Californian FB" w:hAnsi="Californian FB"/>
                          </w:rPr>
                          <w:t xml:space="preserve">click here. </w:t>
                        </w:r>
                      </w:hyperlink>
                      <w:r w:rsidRPr="009234EA">
                        <w:rPr>
                          <w:rFonts w:ascii="Californian FB" w:hAnsi="Californian FB"/>
                        </w:rPr>
                        <w:t xml:space="preserve">If you’d like to relive a slice of your childhood, or if you are reviewing these materials near the end of the fall semester, you can </w:t>
                      </w:r>
                      <w:hyperlink r:id="rId29" w:history="1">
                        <w:r w:rsidRPr="009234EA">
                          <w:rPr>
                            <w:rStyle w:val="Hyperlink"/>
                            <w:rFonts w:ascii="Californian FB" w:hAnsi="Californian FB"/>
                          </w:rPr>
                          <w:t>click here</w:t>
                        </w:r>
                      </w:hyperlink>
                      <w:r w:rsidRPr="009234EA">
                        <w:rPr>
                          <w:rFonts w:ascii="Californian FB" w:hAnsi="Californian FB"/>
                        </w:rPr>
                        <w:t xml:space="preserve"> to get in the spirit of the season and </w:t>
                      </w:r>
                      <w:r>
                        <w:rPr>
                          <w:rFonts w:ascii="Californian FB" w:hAnsi="Californian FB"/>
                        </w:rPr>
                        <w:t>watch an excerpt from</w:t>
                      </w:r>
                      <w:r w:rsidRPr="009234EA">
                        <w:rPr>
                          <w:rFonts w:ascii="Californian FB" w:hAnsi="Californian FB"/>
                        </w:rPr>
                        <w:t xml:space="preserve"> </w:t>
                      </w:r>
                      <w:r w:rsidRPr="009234EA">
                        <w:rPr>
                          <w:rFonts w:ascii="Californian FB" w:hAnsi="Californian FB"/>
                          <w:i/>
                        </w:rPr>
                        <w:t>The Grinch Who Stole Christmas.</w:t>
                      </w:r>
                    </w:p>
                  </w:txbxContent>
                </v:textbox>
                <w10:wrap type="square" anchorx="margin"/>
              </v:shape>
            </w:pict>
          </mc:Fallback>
        </mc:AlternateContent>
      </w:r>
      <w:r w:rsidR="005F6079" w:rsidRPr="005F6079">
        <w:rPr>
          <w:rFonts w:ascii="Californian FB" w:hAnsi="Californian FB"/>
          <w:sz w:val="24"/>
          <w:szCs w:val="24"/>
        </w:rPr>
        <w:tab/>
        <w:t xml:space="preserve">As such, the court found the play to be transformative.  Because of that assessment, the court discounted the commercial nature of the play, which might normally count against fair use.  The court also found that the amount of material taken from </w:t>
      </w:r>
      <w:r w:rsidR="005F6079" w:rsidRPr="005F6079">
        <w:rPr>
          <w:rFonts w:ascii="Californian FB" w:hAnsi="Californian FB"/>
          <w:i/>
          <w:sz w:val="24"/>
          <w:szCs w:val="24"/>
        </w:rPr>
        <w:t>Grinch</w:t>
      </w:r>
      <w:r w:rsidR="005F6079" w:rsidRPr="005F6079">
        <w:rPr>
          <w:rFonts w:ascii="Californian FB" w:hAnsi="Californian FB"/>
          <w:sz w:val="24"/>
          <w:szCs w:val="24"/>
        </w:rPr>
        <w:t xml:space="preserve"> was not excessive, given the parodic objectives of the play.  Finally, regarding the effect of the parody on the market, the court noted that “there is virtually no possibility that consumers will go see the Play in lieu of reading </w:t>
      </w:r>
      <w:r w:rsidR="005F6079" w:rsidRPr="005F6079">
        <w:rPr>
          <w:rFonts w:ascii="Californian FB" w:hAnsi="Californian FB"/>
          <w:i/>
          <w:iCs/>
          <w:sz w:val="24"/>
          <w:szCs w:val="24"/>
        </w:rPr>
        <w:t xml:space="preserve">Grinch </w:t>
      </w:r>
      <w:r w:rsidR="005F6079" w:rsidRPr="005F6079">
        <w:rPr>
          <w:rFonts w:ascii="Californian FB" w:hAnsi="Californian FB"/>
          <w:sz w:val="24"/>
          <w:szCs w:val="24"/>
        </w:rPr>
        <w:t>or watching an authorized derivative work, such as the 2000 film </w:t>
      </w:r>
      <w:r w:rsidR="005F6079" w:rsidRPr="005F6079">
        <w:rPr>
          <w:rFonts w:ascii="Californian FB" w:hAnsi="Californian FB"/>
          <w:i/>
          <w:iCs/>
          <w:sz w:val="24"/>
          <w:szCs w:val="24"/>
        </w:rPr>
        <w:t xml:space="preserve">Dr. Seuss' How the Grinch Stole Christmas.”  </w:t>
      </w:r>
      <w:proofErr w:type="gramStart"/>
      <w:r w:rsidR="005F6079" w:rsidRPr="005F6079">
        <w:rPr>
          <w:rFonts w:ascii="Californian FB" w:hAnsi="Californian FB"/>
          <w:iCs/>
          <w:sz w:val="24"/>
          <w:szCs w:val="24"/>
        </w:rPr>
        <w:t>Consequently</w:t>
      </w:r>
      <w:proofErr w:type="gramEnd"/>
      <w:r w:rsidR="005F6079" w:rsidRPr="005F6079">
        <w:rPr>
          <w:rFonts w:ascii="Californian FB" w:hAnsi="Californian FB"/>
          <w:iCs/>
          <w:sz w:val="24"/>
          <w:szCs w:val="24"/>
        </w:rPr>
        <w:t xml:space="preserve"> the court granted a declaratory judgment </w:t>
      </w:r>
      <w:r>
        <w:rPr>
          <w:rFonts w:ascii="Californian FB" w:hAnsi="Californian FB"/>
          <w:iCs/>
          <w:sz w:val="24"/>
          <w:szCs w:val="24"/>
        </w:rPr>
        <w:t>of</w:t>
      </w:r>
      <w:r w:rsidR="005F6079" w:rsidRPr="005F6079">
        <w:rPr>
          <w:rFonts w:ascii="Californian FB" w:hAnsi="Californian FB"/>
          <w:iCs/>
          <w:sz w:val="24"/>
          <w:szCs w:val="24"/>
        </w:rPr>
        <w:t xml:space="preserve"> non-infringement in favor of Lombardo.  </w:t>
      </w:r>
      <w:r w:rsidR="005F6079" w:rsidRPr="005F6079">
        <w:rPr>
          <w:rFonts w:ascii="Californian FB" w:hAnsi="Californian FB"/>
          <w:iCs/>
          <w:sz w:val="24"/>
          <w:szCs w:val="24"/>
        </w:rPr>
        <w:tab/>
      </w:r>
    </w:p>
    <w:p w14:paraId="6B87D4A2" w14:textId="77777777" w:rsidR="005F6079" w:rsidRPr="005F6079" w:rsidRDefault="005F6079" w:rsidP="005F6079">
      <w:pPr>
        <w:rPr>
          <w:rFonts w:ascii="Californian FB" w:hAnsi="Californian FB"/>
          <w:b/>
          <w:sz w:val="24"/>
          <w:szCs w:val="24"/>
        </w:rPr>
      </w:pPr>
      <w:r w:rsidRPr="005F6079">
        <w:rPr>
          <w:rFonts w:ascii="Californian FB" w:hAnsi="Californian FB"/>
          <w:noProof/>
          <w:sz w:val="24"/>
          <w:szCs w:val="24"/>
        </w:rPr>
        <w:lastRenderedPageBreak/>
        <w:drawing>
          <wp:anchor distT="0" distB="0" distL="114300" distR="114300" simplePos="0" relativeHeight="251725824" behindDoc="0" locked="0" layoutInCell="1" allowOverlap="1" wp14:anchorId="79EA341A" wp14:editId="28DDBF62">
            <wp:simplePos x="0" y="0"/>
            <wp:positionH relativeFrom="column">
              <wp:posOffset>3340735</wp:posOffset>
            </wp:positionH>
            <wp:positionV relativeFrom="paragraph">
              <wp:posOffset>159385</wp:posOffset>
            </wp:positionV>
            <wp:extent cx="1346200" cy="2086610"/>
            <wp:effectExtent l="0" t="0" r="635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46200" cy="2086610"/>
                    </a:xfrm>
                    <a:prstGeom prst="rect">
                      <a:avLst/>
                    </a:prstGeom>
                    <a:noFill/>
                  </pic:spPr>
                </pic:pic>
              </a:graphicData>
            </a:graphic>
            <wp14:sizeRelH relativeFrom="page">
              <wp14:pctWidth>0</wp14:pctWidth>
            </wp14:sizeRelH>
            <wp14:sizeRelV relativeFrom="page">
              <wp14:pctHeight>0</wp14:pctHeight>
            </wp14:sizeRelV>
          </wp:anchor>
        </w:drawing>
      </w:r>
      <w:r w:rsidRPr="005F6079">
        <w:rPr>
          <w:rFonts w:ascii="Californian FB" w:hAnsi="Californian FB"/>
          <w:noProof/>
          <w:sz w:val="24"/>
          <w:szCs w:val="24"/>
        </w:rPr>
        <w:drawing>
          <wp:anchor distT="0" distB="0" distL="114300" distR="114300" simplePos="0" relativeHeight="251726848" behindDoc="0" locked="0" layoutInCell="1" allowOverlap="1" wp14:anchorId="5E03E8D8" wp14:editId="570882EE">
            <wp:simplePos x="0" y="0"/>
            <wp:positionH relativeFrom="column">
              <wp:posOffset>1555307</wp:posOffset>
            </wp:positionH>
            <wp:positionV relativeFrom="paragraph">
              <wp:posOffset>167253</wp:posOffset>
            </wp:positionV>
            <wp:extent cx="1478280" cy="2082165"/>
            <wp:effectExtent l="0" t="0" r="7620" b="0"/>
            <wp:wrapSquare wrapText="bothSides"/>
            <wp:docPr id="8" name="Picture 8" descr="Image result for how the grinch stol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w the grinch stole christmas"/>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14266" t="389" r="14819" b="-254"/>
                    <a:stretch/>
                  </pic:blipFill>
                  <pic:spPr bwMode="auto">
                    <a:xfrm>
                      <a:off x="0" y="0"/>
                      <a:ext cx="1478280" cy="208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52D4E" w14:textId="77777777" w:rsidR="005F6079" w:rsidRPr="005F6079" w:rsidRDefault="005F6079" w:rsidP="005F6079">
      <w:pPr>
        <w:rPr>
          <w:rFonts w:ascii="Californian FB" w:hAnsi="Californian FB"/>
          <w:b/>
          <w:sz w:val="24"/>
          <w:szCs w:val="24"/>
        </w:rPr>
      </w:pPr>
    </w:p>
    <w:p w14:paraId="5CD7FD40" w14:textId="77777777" w:rsidR="005F6079" w:rsidRPr="005F6079" w:rsidRDefault="005F6079" w:rsidP="005F6079">
      <w:pPr>
        <w:rPr>
          <w:rFonts w:ascii="Californian FB" w:hAnsi="Californian FB"/>
          <w:b/>
          <w:sz w:val="24"/>
          <w:szCs w:val="24"/>
        </w:rPr>
      </w:pPr>
    </w:p>
    <w:p w14:paraId="651B5A03" w14:textId="77777777" w:rsidR="005F6079" w:rsidRPr="005F6079" w:rsidRDefault="005F6079" w:rsidP="005F6079">
      <w:pPr>
        <w:rPr>
          <w:rFonts w:ascii="Californian FB" w:hAnsi="Californian FB"/>
          <w:b/>
          <w:sz w:val="24"/>
          <w:szCs w:val="24"/>
        </w:rPr>
      </w:pPr>
    </w:p>
    <w:p w14:paraId="65591628" w14:textId="77777777" w:rsidR="005F6079" w:rsidRPr="005F6079" w:rsidRDefault="005F6079" w:rsidP="005F6079">
      <w:pPr>
        <w:rPr>
          <w:rFonts w:ascii="Californian FB" w:hAnsi="Californian FB"/>
          <w:b/>
          <w:sz w:val="24"/>
          <w:szCs w:val="24"/>
        </w:rPr>
      </w:pPr>
    </w:p>
    <w:p w14:paraId="25B3DA0B" w14:textId="77777777" w:rsidR="005F6079" w:rsidRPr="005F6079" w:rsidRDefault="005F6079" w:rsidP="005F6079">
      <w:pPr>
        <w:rPr>
          <w:rFonts w:ascii="Californian FB" w:hAnsi="Californian FB"/>
          <w:b/>
          <w:sz w:val="24"/>
          <w:szCs w:val="24"/>
        </w:rPr>
      </w:pPr>
      <w:r w:rsidRPr="005F6079">
        <w:rPr>
          <w:rFonts w:ascii="Californian FB" w:hAnsi="Californian FB"/>
          <w:b/>
          <w:sz w:val="24"/>
          <w:szCs w:val="24"/>
        </w:rPr>
        <w:tab/>
      </w:r>
    </w:p>
    <w:p w14:paraId="7FC0A5D8" w14:textId="77777777" w:rsidR="005F6079" w:rsidRPr="005F6079" w:rsidRDefault="005F6079" w:rsidP="005F6079">
      <w:pPr>
        <w:rPr>
          <w:rFonts w:ascii="Californian FB" w:hAnsi="Californian FB"/>
          <w:b/>
          <w:sz w:val="24"/>
          <w:szCs w:val="24"/>
        </w:rPr>
      </w:pPr>
    </w:p>
    <w:p w14:paraId="1CA7451C" w14:textId="77777777" w:rsidR="005F6079" w:rsidRPr="005F6079" w:rsidRDefault="005F6079" w:rsidP="005F6079">
      <w:pPr>
        <w:rPr>
          <w:rFonts w:ascii="Californian FB" w:hAnsi="Californian FB"/>
          <w:b/>
          <w:sz w:val="24"/>
          <w:szCs w:val="24"/>
        </w:rPr>
      </w:pPr>
    </w:p>
    <w:p w14:paraId="59135CDE" w14:textId="77777777" w:rsidR="005F6079" w:rsidRPr="005F6079" w:rsidRDefault="005F6079" w:rsidP="005F6079">
      <w:pPr>
        <w:jc w:val="center"/>
        <w:rPr>
          <w:rFonts w:ascii="Californian FB" w:hAnsi="Californian FB"/>
          <w:b/>
          <w:sz w:val="24"/>
          <w:szCs w:val="24"/>
        </w:rPr>
      </w:pPr>
      <w:r w:rsidRPr="005F6079">
        <w:rPr>
          <w:rFonts w:ascii="Californian FB" w:hAnsi="Californian FB"/>
          <w:b/>
          <w:sz w:val="24"/>
          <w:szCs w:val="24"/>
        </w:rPr>
        <w:t>—————</w:t>
      </w:r>
    </w:p>
    <w:p w14:paraId="3592CB21" w14:textId="77777777" w:rsidR="005F6079" w:rsidRPr="005F6079" w:rsidRDefault="005F6079" w:rsidP="005F6079">
      <w:pPr>
        <w:rPr>
          <w:rFonts w:ascii="Californian FB" w:hAnsi="Californian FB"/>
          <w:sz w:val="24"/>
          <w:szCs w:val="24"/>
        </w:rPr>
      </w:pPr>
      <w:r w:rsidRPr="005F6079">
        <w:rPr>
          <w:rFonts w:ascii="Californian FB" w:hAnsi="Californian FB"/>
          <w:sz w:val="24"/>
          <w:szCs w:val="24"/>
        </w:rPr>
        <w:tab/>
        <w:t xml:space="preserve">Do you think the courts that decided these two cases were too generous in their application of the fair use doctrine?  </w:t>
      </w:r>
    </w:p>
    <w:p w14:paraId="167FBCE7" w14:textId="1A32397E" w:rsidR="00991083" w:rsidRPr="00FF7EDF" w:rsidRDefault="00991083" w:rsidP="00ED6BE0">
      <w:pPr>
        <w:shd w:val="clear" w:color="auto" w:fill="FFFFFF"/>
        <w:rPr>
          <w:rFonts w:ascii="Californian FB" w:hAnsi="Californian FB" w:cs="BerkeleyStd-Book"/>
          <w:b/>
          <w:sz w:val="28"/>
          <w:szCs w:val="28"/>
        </w:rPr>
      </w:pPr>
      <w:r w:rsidRPr="00FF7EDF">
        <w:rPr>
          <w:rFonts w:ascii="Californian FB" w:hAnsi="Californian FB" w:cs="BerkeleyStd-Book"/>
          <w:b/>
          <w:sz w:val="28"/>
          <w:szCs w:val="28"/>
        </w:rPr>
        <w:t>B. Some Applications</w:t>
      </w:r>
    </w:p>
    <w:p w14:paraId="3866C4BE" w14:textId="4BDA0C10" w:rsidR="008E52F0" w:rsidRPr="008E52F0" w:rsidRDefault="008E52F0" w:rsidP="00ED6BE0">
      <w:pPr>
        <w:shd w:val="clear" w:color="auto" w:fill="FFFFFF"/>
        <w:rPr>
          <w:rFonts w:ascii="Californian FB" w:eastAsia="Times New Roman" w:hAnsi="Californian FB" w:cstheme="minorHAnsi"/>
          <w:sz w:val="28"/>
          <w:szCs w:val="28"/>
        </w:rPr>
      </w:pPr>
      <w:r w:rsidRPr="008E52F0">
        <w:rPr>
          <w:rFonts w:ascii="Californian FB" w:eastAsia="Times New Roman" w:hAnsi="Californian FB" w:cstheme="minorHAnsi"/>
          <w:sz w:val="28"/>
          <w:szCs w:val="28"/>
        </w:rPr>
        <w:t xml:space="preserve">p.368 – Insert </w:t>
      </w:r>
      <w:r w:rsidR="001862CB">
        <w:rPr>
          <w:rFonts w:ascii="Californian FB" w:eastAsia="Times New Roman" w:hAnsi="Californian FB" w:cstheme="minorHAnsi"/>
          <w:sz w:val="28"/>
          <w:szCs w:val="28"/>
        </w:rPr>
        <w:t xml:space="preserve">the following after note </w:t>
      </w:r>
      <w:r w:rsidRPr="008E52F0">
        <w:rPr>
          <w:rFonts w:ascii="Californian FB" w:eastAsia="Times New Roman" w:hAnsi="Californian FB" w:cstheme="minorHAnsi"/>
          <w:sz w:val="28"/>
          <w:szCs w:val="28"/>
        </w:rPr>
        <w:t>1 (carry-over paragraph)</w:t>
      </w:r>
    </w:p>
    <w:p w14:paraId="7B1A67FC" w14:textId="6110158E" w:rsidR="008E52F0" w:rsidRPr="008E52F0" w:rsidRDefault="001202ED" w:rsidP="00ED6BE0">
      <w:pPr>
        <w:shd w:val="clear" w:color="auto" w:fill="FFFFFF"/>
        <w:jc w:val="both"/>
        <w:rPr>
          <w:rFonts w:ascii="Californian FB" w:eastAsia="Times New Roman" w:hAnsi="Californian FB" w:cstheme="minorHAnsi"/>
          <w:sz w:val="24"/>
          <w:szCs w:val="24"/>
        </w:rPr>
      </w:pPr>
      <w:r w:rsidRPr="00997E88">
        <w:rPr>
          <w:rFonts w:ascii="Californian FB" w:hAnsi="Californian FB"/>
          <w:noProof/>
          <w:sz w:val="24"/>
          <w:szCs w:val="24"/>
        </w:rPr>
        <mc:AlternateContent>
          <mc:Choice Requires="wps">
            <w:drawing>
              <wp:anchor distT="0" distB="0" distL="114300" distR="114300" simplePos="0" relativeHeight="251674624" behindDoc="1" locked="0" layoutInCell="1" allowOverlap="1" wp14:anchorId="20063018" wp14:editId="2B031946">
                <wp:simplePos x="0" y="0"/>
                <wp:positionH relativeFrom="column">
                  <wp:posOffset>0</wp:posOffset>
                </wp:positionH>
                <wp:positionV relativeFrom="paragraph">
                  <wp:posOffset>876300</wp:posOffset>
                </wp:positionV>
                <wp:extent cx="2013585" cy="1905000"/>
                <wp:effectExtent l="0" t="0" r="24765" b="19050"/>
                <wp:wrapTight wrapText="bothSides">
                  <wp:wrapPolygon edited="0">
                    <wp:start x="0" y="0"/>
                    <wp:lineTo x="0" y="21600"/>
                    <wp:lineTo x="21661" y="21600"/>
                    <wp:lineTo x="2166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013585" cy="1905000"/>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267106" w14:textId="77777777" w:rsidR="00C747A6" w:rsidRPr="002F2F89" w:rsidRDefault="00C747A6" w:rsidP="001202ED">
                            <w:pPr>
                              <w:jc w:val="center"/>
                              <w:rPr>
                                <w:rFonts w:ascii="Californian FB" w:hAnsi="Californian FB"/>
                                <w:b/>
                              </w:rPr>
                            </w:pPr>
                            <w:r w:rsidRPr="002F2F89">
                              <w:rPr>
                                <w:rFonts w:ascii="Californian FB" w:hAnsi="Californian FB"/>
                                <w:b/>
                              </w:rPr>
                              <w:t>GO ONLINE</w:t>
                            </w:r>
                          </w:p>
                          <w:p w14:paraId="63CAC560" w14:textId="1D321FE0" w:rsidR="00C747A6" w:rsidRPr="002F2F89" w:rsidRDefault="00C747A6" w:rsidP="001202ED">
                            <w:pPr>
                              <w:jc w:val="both"/>
                              <w:rPr>
                                <w:rFonts w:ascii="Californian FB" w:hAnsi="Californian FB"/>
                                <w:i/>
                              </w:rPr>
                            </w:pPr>
                            <w:r>
                              <w:rPr>
                                <w:rFonts w:ascii="Californian FB" w:hAnsi="Californian FB"/>
                              </w:rPr>
                              <w:t xml:space="preserve">Has Great Minds in fact altered its license in light of the Second Circuit’s ruling?  Not when we last checked. But you can check too, by examining the license for the Eureka Math Basic Curriculum, which forms one part of the Great Minds website’s </w:t>
                            </w:r>
                            <w:hyperlink r:id="rId32" w:history="1">
                              <w:r w:rsidRPr="001202ED">
                                <w:rPr>
                                  <w:rStyle w:val="Hyperlink"/>
                                  <w:rFonts w:ascii="Californian FB" w:hAnsi="Californian FB"/>
                                </w:rPr>
                                <w:t>terms of service</w:t>
                              </w:r>
                            </w:hyperlink>
                            <w:r>
                              <w:rPr>
                                <w:rFonts w:ascii="Californian FB" w:hAnsi="Californian F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3018" id="Text Box 5" o:spid="_x0000_s1030" type="#_x0000_t202" style="position:absolute;left:0;text-align:left;margin-left:0;margin-top:69pt;width:158.55pt;height:15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" fillcolor="#bdd6ee [1300]" strokecolor="#bdd6ee [1300]" strokeweight=".5pt">
                <v:textbox>
                  <w:txbxContent>
                    <w:p w14:paraId="3E267106" w14:textId="77777777" w:rsidR="00C747A6" w:rsidRPr="002F2F89" w:rsidRDefault="00C747A6" w:rsidP="001202ED">
                      <w:pPr>
                        <w:jc w:val="center"/>
                        <w:rPr>
                          <w:rFonts w:ascii="Californian FB" w:hAnsi="Californian FB"/>
                          <w:b/>
                        </w:rPr>
                      </w:pPr>
                      <w:r w:rsidRPr="002F2F89">
                        <w:rPr>
                          <w:rFonts w:ascii="Californian FB" w:hAnsi="Californian FB"/>
                          <w:b/>
                        </w:rPr>
                        <w:t>GO ONLINE</w:t>
                      </w:r>
                    </w:p>
                    <w:p w14:paraId="63CAC560" w14:textId="1D321FE0" w:rsidR="00C747A6" w:rsidRPr="002F2F89" w:rsidRDefault="00C747A6" w:rsidP="001202ED">
                      <w:pPr>
                        <w:jc w:val="both"/>
                        <w:rPr>
                          <w:rFonts w:ascii="Californian FB" w:hAnsi="Californian FB"/>
                          <w:i/>
                        </w:rPr>
                      </w:pPr>
                      <w:r>
                        <w:rPr>
                          <w:rFonts w:ascii="Californian FB" w:hAnsi="Californian FB"/>
                        </w:rPr>
                        <w:t xml:space="preserve">Has Great Minds in fact altered its license in light of the Second Circuit’s ruling?  Not when we last checked. But you can check too, by examining the license for the Eureka Math Basic Curriculum, which forms one part of the Great Minds website’s </w:t>
                      </w:r>
                      <w:hyperlink r:id="rId33" w:history="1">
                        <w:r w:rsidRPr="001202ED">
                          <w:rPr>
                            <w:rStyle w:val="Hyperlink"/>
                            <w:rFonts w:ascii="Californian FB" w:hAnsi="Californian FB"/>
                          </w:rPr>
                          <w:t>terms of service</w:t>
                        </w:r>
                      </w:hyperlink>
                      <w:r>
                        <w:rPr>
                          <w:rFonts w:ascii="Californian FB" w:hAnsi="Californian FB"/>
                        </w:rPr>
                        <w:t>.</w:t>
                      </w:r>
                    </w:p>
                  </w:txbxContent>
                </v:textbox>
                <w10:wrap type="tight"/>
              </v:shape>
            </w:pict>
          </mc:Fallback>
        </mc:AlternateContent>
      </w:r>
      <w:r w:rsidR="008E52F0" w:rsidRPr="008E52F0">
        <w:rPr>
          <w:rFonts w:ascii="Californian FB" w:eastAsia="Times New Roman" w:hAnsi="Californian FB" w:cstheme="minorHAnsi"/>
          <w:sz w:val="28"/>
          <w:szCs w:val="28"/>
        </w:rPr>
        <w:tab/>
      </w:r>
      <w:r w:rsidR="008E52F0" w:rsidRPr="008E52F0">
        <w:rPr>
          <w:rFonts w:ascii="Californian FB" w:eastAsia="Times New Roman" w:hAnsi="Californian FB" w:cstheme="minorHAnsi"/>
          <w:b/>
          <w:sz w:val="24"/>
          <w:szCs w:val="24"/>
        </w:rPr>
        <w:t>1A.</w:t>
      </w:r>
      <w:r w:rsidR="005E1037">
        <w:rPr>
          <w:rFonts w:ascii="Californian FB" w:eastAsia="Times New Roman" w:hAnsi="Californian FB" w:cstheme="minorHAnsi"/>
          <w:b/>
          <w:sz w:val="24"/>
          <w:szCs w:val="24"/>
        </w:rPr>
        <w:t xml:space="preserve">   Use of Commercial Copy-Shop b</w:t>
      </w:r>
      <w:r w:rsidR="008E52F0" w:rsidRPr="008E52F0">
        <w:rPr>
          <w:rFonts w:ascii="Californian FB" w:eastAsia="Times New Roman" w:hAnsi="Californian FB" w:cstheme="minorHAnsi"/>
          <w:b/>
          <w:sz w:val="24"/>
          <w:szCs w:val="24"/>
        </w:rPr>
        <w:t>y Non-Profit Licensee.</w:t>
      </w:r>
      <w:r w:rsidR="008E52F0" w:rsidRPr="008E52F0">
        <w:rPr>
          <w:rFonts w:ascii="Californian FB" w:eastAsia="Times New Roman" w:hAnsi="Californian FB" w:cstheme="minorHAnsi"/>
          <w:sz w:val="24"/>
          <w:szCs w:val="24"/>
        </w:rPr>
        <w:t xml:space="preserve">  In the Princeton University Press case, the faculty members who instigated the copying did not have a license from the copyright owners.  If they had made the copies themselves, they would have been guilty of prima facie infringement, and would have had to rely on a claim of fair use to defend any suit against them.  What if those faculty members, or their university, had a license to reproduce and distribute the material in non-profit educational contexts?  Would it then be permissible for them to use the services of an outside for-profit copy shop to make the copies?   That was the situation the court confronted in </w:t>
      </w:r>
      <w:hyperlink r:id="rId34" w:history="1">
        <w:r w:rsidR="008E52F0" w:rsidRPr="001862CB">
          <w:rPr>
            <w:rStyle w:val="Hyperlink"/>
            <w:rFonts w:ascii="Californian FB" w:eastAsia="Times New Roman" w:hAnsi="Californian FB" w:cstheme="minorHAnsi"/>
            <w:sz w:val="24"/>
            <w:szCs w:val="24"/>
          </w:rPr>
          <w:t xml:space="preserve">Great Minds v. </w:t>
        </w:r>
        <w:proofErr w:type="spellStart"/>
        <w:r w:rsidR="008E52F0" w:rsidRPr="001862CB">
          <w:rPr>
            <w:rStyle w:val="Hyperlink"/>
            <w:rFonts w:ascii="Californian FB" w:eastAsia="Times New Roman" w:hAnsi="Californian FB" w:cstheme="minorHAnsi"/>
            <w:sz w:val="24"/>
            <w:szCs w:val="24"/>
          </w:rPr>
          <w:t>Fedex</w:t>
        </w:r>
        <w:proofErr w:type="spellEnd"/>
        <w:r w:rsidR="008E52F0" w:rsidRPr="001862CB">
          <w:rPr>
            <w:rStyle w:val="Hyperlink"/>
            <w:rFonts w:ascii="Californian FB" w:eastAsia="Times New Roman" w:hAnsi="Californian FB" w:cstheme="minorHAnsi"/>
            <w:sz w:val="24"/>
            <w:szCs w:val="24"/>
          </w:rPr>
          <w:t xml:space="preserve"> Office and Print Services, Inc.</w:t>
        </w:r>
        <w:proofErr w:type="gramStart"/>
        <w:r w:rsidR="008E52F0" w:rsidRPr="001862CB">
          <w:rPr>
            <w:rStyle w:val="Hyperlink"/>
            <w:rFonts w:ascii="Californian FB" w:eastAsia="Times New Roman" w:hAnsi="Californian FB" w:cstheme="minorHAnsi"/>
            <w:sz w:val="24"/>
            <w:szCs w:val="24"/>
          </w:rPr>
          <w:t>,  886</w:t>
        </w:r>
        <w:proofErr w:type="gramEnd"/>
        <w:r w:rsidR="008E52F0" w:rsidRPr="001862CB">
          <w:rPr>
            <w:rStyle w:val="Hyperlink"/>
            <w:rFonts w:ascii="Californian FB" w:eastAsia="Times New Roman" w:hAnsi="Californian FB" w:cstheme="minorHAnsi"/>
            <w:sz w:val="24"/>
            <w:szCs w:val="24"/>
          </w:rPr>
          <w:t xml:space="preserve"> F.3d 91 (2nd Cir.  2018)</w:t>
        </w:r>
      </w:hyperlink>
      <w:r w:rsidR="008E52F0" w:rsidRPr="008E52F0">
        <w:rPr>
          <w:rFonts w:ascii="Californian FB" w:eastAsia="Times New Roman" w:hAnsi="Californian FB" w:cstheme="minorHAnsi"/>
          <w:sz w:val="24"/>
          <w:szCs w:val="24"/>
        </w:rPr>
        <w:t xml:space="preserve">.  The plaintiff in that case, Great Minds, is a non-profit organization that publishes, among other things, math textbooks under the name Eureka Math.  Great Minds sells these books, but also makes </w:t>
      </w:r>
      <w:r w:rsidR="005E1037">
        <w:rPr>
          <w:rFonts w:ascii="Californian FB" w:eastAsia="Times New Roman" w:hAnsi="Californian FB" w:cstheme="minorHAnsi"/>
          <w:sz w:val="24"/>
          <w:szCs w:val="24"/>
        </w:rPr>
        <w:t>PDF</w:t>
      </w:r>
      <w:r w:rsidR="008E52F0" w:rsidRPr="008E52F0">
        <w:rPr>
          <w:rFonts w:ascii="Californian FB" w:eastAsia="Times New Roman" w:hAnsi="Californian FB" w:cstheme="minorHAnsi"/>
          <w:sz w:val="24"/>
          <w:szCs w:val="24"/>
        </w:rPr>
        <w:t xml:space="preserve"> copies available on-line, free of charge, subject to a Creative Commons license, a royalty-free non-exclusive license that among others things, forbids licensees from using the work for profit. (For a more extensive discussion of these licenses, see Note 5 on p. 685).  When a number of school districts asked FedEx copy shops to make copies of the materials for use by their students, Great Minds sued.   It argued that since FedEx was reproducing and sharing the materials, FedEx was subject to the limits of the license, which forbids copying for profit.  The court said that this argument “fails to account for the mundane ubiquity of lawful agency relationships, in which ‘one person, to one degree or another .</w:t>
      </w:r>
      <w:r>
        <w:rPr>
          <w:rFonts w:ascii="Californian FB" w:eastAsia="Times New Roman" w:hAnsi="Californian FB" w:cstheme="minorHAnsi"/>
          <w:sz w:val="24"/>
          <w:szCs w:val="24"/>
        </w:rPr>
        <w:t xml:space="preserve"> </w:t>
      </w:r>
      <w:r w:rsidR="008E52F0" w:rsidRPr="008E52F0">
        <w:rPr>
          <w:rFonts w:ascii="Californian FB" w:eastAsia="Times New Roman" w:hAnsi="Californian FB" w:cstheme="minorHAnsi"/>
          <w:sz w:val="24"/>
          <w:szCs w:val="24"/>
        </w:rPr>
        <w:t>.</w:t>
      </w:r>
      <w:r>
        <w:rPr>
          <w:rFonts w:ascii="Californian FB" w:eastAsia="Times New Roman" w:hAnsi="Californian FB" w:cstheme="minorHAnsi"/>
          <w:sz w:val="24"/>
          <w:szCs w:val="24"/>
        </w:rPr>
        <w:t xml:space="preserve"> </w:t>
      </w:r>
      <w:r w:rsidR="008E52F0" w:rsidRPr="008E52F0">
        <w:rPr>
          <w:rFonts w:ascii="Californian FB" w:eastAsia="Times New Roman" w:hAnsi="Californian FB" w:cstheme="minorHAnsi"/>
          <w:sz w:val="24"/>
          <w:szCs w:val="24"/>
        </w:rPr>
        <w:t>., acts as a representative of or otherwise acts on behalf of another person.</w:t>
      </w:r>
      <w:proofErr w:type="gramStart"/>
      <w:r w:rsidR="008E52F0" w:rsidRPr="008E52F0">
        <w:rPr>
          <w:rFonts w:ascii="Californian FB" w:eastAsia="Times New Roman" w:hAnsi="Californian FB" w:cstheme="minorHAnsi"/>
          <w:sz w:val="24"/>
          <w:szCs w:val="24"/>
        </w:rPr>
        <w:t>’ ”</w:t>
      </w:r>
      <w:proofErr w:type="gramEnd"/>
      <w:r w:rsidR="008E52F0" w:rsidRPr="008E52F0">
        <w:rPr>
          <w:rFonts w:ascii="Californian FB" w:eastAsia="Times New Roman" w:hAnsi="Californian FB" w:cstheme="minorHAnsi"/>
          <w:sz w:val="24"/>
          <w:szCs w:val="24"/>
        </w:rPr>
        <w:t xml:space="preserve">  It consequently concluded that the school districts could rely on non-employee agents – such as FedEx – to validly exercise rights under the </w:t>
      </w:r>
      <w:r w:rsidR="008E52F0" w:rsidRPr="008E52F0">
        <w:rPr>
          <w:rFonts w:ascii="Californian FB" w:eastAsia="Times New Roman" w:hAnsi="Californian FB" w:cstheme="minorHAnsi"/>
          <w:sz w:val="24"/>
          <w:szCs w:val="24"/>
        </w:rPr>
        <w:lastRenderedPageBreak/>
        <w:t xml:space="preserve">license.  </w:t>
      </w:r>
      <w:r>
        <w:rPr>
          <w:rFonts w:ascii="Californian FB" w:eastAsia="Times New Roman" w:hAnsi="Californian FB" w:cstheme="minorHAnsi"/>
          <w:sz w:val="24"/>
          <w:szCs w:val="24"/>
        </w:rPr>
        <w:t>However, it commented that</w:t>
      </w:r>
      <w:r w:rsidR="008E52F0" w:rsidRPr="008E52F0">
        <w:rPr>
          <w:rFonts w:ascii="Californian FB" w:eastAsia="Times New Roman" w:hAnsi="Californian FB" w:cstheme="minorHAnsi"/>
          <w:sz w:val="24"/>
          <w:szCs w:val="24"/>
        </w:rPr>
        <w:t xml:space="preserve"> “Great Minds could, if it wished, draft a public license that specified whether, and under what circumstances, a licensee may rely on employees or non-employee agents in reproducing or otherwise engaging with the Materials. But Great Minds included no such specification in the license at issue here.”  Would you expect Great Minds to redraft its license?  Is there any reason for them to refrain from doing so?</w:t>
      </w:r>
    </w:p>
    <w:p w14:paraId="6C69E933" w14:textId="52A89ABE" w:rsidR="008E52F0" w:rsidRPr="008E52F0" w:rsidRDefault="008E52F0" w:rsidP="00ED6BE0">
      <w:pPr>
        <w:shd w:val="clear" w:color="auto" w:fill="FFFFFF"/>
        <w:jc w:val="both"/>
        <w:rPr>
          <w:rFonts w:ascii="Californian FB" w:eastAsia="Times New Roman" w:hAnsi="Californian FB" w:cstheme="minorHAnsi"/>
          <w:sz w:val="24"/>
          <w:szCs w:val="24"/>
        </w:rPr>
      </w:pPr>
      <w:r w:rsidRPr="008E52F0">
        <w:rPr>
          <w:rFonts w:ascii="Californian FB" w:eastAsia="Times New Roman" w:hAnsi="Californian FB" w:cstheme="minorHAnsi"/>
          <w:sz w:val="24"/>
          <w:szCs w:val="24"/>
        </w:rPr>
        <w:tab/>
        <w:t>The Great Minds court distinguished Princeton University Press with the following observation:</w:t>
      </w:r>
    </w:p>
    <w:p w14:paraId="36242B03" w14:textId="77777777" w:rsidR="008E52F0" w:rsidRPr="008E52F0" w:rsidRDefault="008E52F0" w:rsidP="00ED6BE0">
      <w:pPr>
        <w:shd w:val="clear" w:color="auto" w:fill="FFFFFF"/>
        <w:ind w:left="360" w:right="360"/>
        <w:jc w:val="both"/>
        <w:rPr>
          <w:rFonts w:ascii="Californian FB" w:eastAsia="Times New Roman" w:hAnsi="Californian FB" w:cstheme="minorHAnsi"/>
          <w:sz w:val="24"/>
          <w:szCs w:val="24"/>
        </w:rPr>
      </w:pPr>
      <w:r w:rsidRPr="008E52F0">
        <w:rPr>
          <w:rFonts w:ascii="Californian FB" w:eastAsia="Times New Roman" w:hAnsi="Californian FB" w:cstheme="minorHAnsi"/>
          <w:sz w:val="24"/>
          <w:szCs w:val="24"/>
        </w:rPr>
        <w:t>Unlike the defendants in Princeton and Basic Books, FedEx sold the school districts its copying services, not ready-made copies of the Materials themselves. Moreover, those cases concern the proper application of the “fair use” defense, which requires a court to consider the “purpose and character” of each defendant's use of the copyrighted materials, “including whether such use is of a commercial nature or is for nonprofit educational purposes.”  For purposes of this appeal, however, FedEx has disclaimed reliance on the fair use defense, and, given our reliance on agency principles and the text of the License to reach our conclusion, we find these cases inapt.</w:t>
      </w:r>
    </w:p>
    <w:p w14:paraId="2F83C866" w14:textId="0D57438A" w:rsidR="008E52F0" w:rsidRPr="008E52F0" w:rsidRDefault="008E52F0" w:rsidP="00ED6BE0">
      <w:pPr>
        <w:shd w:val="clear" w:color="auto" w:fill="FFFFFF"/>
        <w:jc w:val="both"/>
        <w:rPr>
          <w:rFonts w:ascii="Californian FB" w:eastAsia="Times New Roman" w:hAnsi="Californian FB" w:cstheme="minorHAnsi"/>
          <w:sz w:val="24"/>
          <w:szCs w:val="24"/>
        </w:rPr>
      </w:pPr>
      <w:r w:rsidRPr="008E52F0">
        <w:rPr>
          <w:rFonts w:ascii="Californian FB" w:eastAsia="Times New Roman" w:hAnsi="Californian FB" w:cstheme="minorHAnsi"/>
          <w:sz w:val="24"/>
          <w:szCs w:val="24"/>
        </w:rPr>
        <w:t xml:space="preserve">Are you convinced?  Would the Princeton case have come out the other way if the University had paid the copy shop, a </w:t>
      </w:r>
      <w:proofErr w:type="gramStart"/>
      <w:r w:rsidRPr="008E52F0">
        <w:rPr>
          <w:rFonts w:ascii="Californian FB" w:eastAsia="Times New Roman" w:hAnsi="Californian FB" w:cstheme="minorHAnsi"/>
          <w:sz w:val="24"/>
          <w:szCs w:val="24"/>
        </w:rPr>
        <w:t>University</w:t>
      </w:r>
      <w:proofErr w:type="gramEnd"/>
      <w:r w:rsidRPr="008E52F0">
        <w:rPr>
          <w:rFonts w:ascii="Californian FB" w:eastAsia="Times New Roman" w:hAnsi="Californian FB" w:cstheme="minorHAnsi"/>
          <w:sz w:val="24"/>
          <w:szCs w:val="24"/>
        </w:rPr>
        <w:t xml:space="preserve"> employee </w:t>
      </w:r>
      <w:r w:rsidR="001202ED">
        <w:rPr>
          <w:rFonts w:ascii="Californian FB" w:eastAsia="Times New Roman" w:hAnsi="Californian FB" w:cstheme="minorHAnsi"/>
          <w:sz w:val="24"/>
          <w:szCs w:val="24"/>
        </w:rPr>
        <w:t xml:space="preserve">had </w:t>
      </w:r>
      <w:r w:rsidRPr="008E52F0">
        <w:rPr>
          <w:rFonts w:ascii="Californian FB" w:eastAsia="Times New Roman" w:hAnsi="Californian FB" w:cstheme="minorHAnsi"/>
          <w:sz w:val="24"/>
          <w:szCs w:val="24"/>
        </w:rPr>
        <w:t>picked up the course-packs, and then they were sold to students by the faculty members’ secretaries?</w:t>
      </w:r>
    </w:p>
    <w:p w14:paraId="488B0545" w14:textId="1956D669" w:rsidR="008A645C" w:rsidRDefault="008A645C" w:rsidP="00ED6BE0">
      <w:pPr>
        <w:shd w:val="clear" w:color="auto" w:fill="FFFFFF"/>
        <w:rPr>
          <w:rFonts w:ascii="Californian FB" w:eastAsia="Times New Roman" w:hAnsi="Californian FB" w:cstheme="minorHAnsi"/>
          <w:sz w:val="28"/>
          <w:szCs w:val="28"/>
        </w:rPr>
      </w:pPr>
      <w:r>
        <w:rPr>
          <w:rFonts w:ascii="Californian FB" w:eastAsia="Times New Roman" w:hAnsi="Californian FB" w:cstheme="minorHAnsi"/>
          <w:sz w:val="28"/>
          <w:szCs w:val="28"/>
        </w:rPr>
        <w:t xml:space="preserve">p. 395 – Insert the following above note 8: </w:t>
      </w:r>
    </w:p>
    <w:p w14:paraId="31D98981" w14:textId="42CA2613" w:rsidR="008A645C" w:rsidRPr="00FF7EDF" w:rsidRDefault="008A645C" w:rsidP="00ED6BE0">
      <w:pPr>
        <w:shd w:val="clear" w:color="auto" w:fill="FFFFFF"/>
        <w:rPr>
          <w:rFonts w:ascii="Californian FB" w:eastAsia="Times New Roman" w:hAnsi="Californian FB" w:cstheme="minorHAnsi"/>
          <w:b/>
          <w:sz w:val="24"/>
          <w:szCs w:val="24"/>
        </w:rPr>
      </w:pPr>
      <w:r w:rsidRPr="00FF7EDF">
        <w:rPr>
          <w:rFonts w:ascii="Californian FB" w:eastAsia="Times New Roman" w:hAnsi="Californian FB" w:cstheme="minorHAnsi"/>
          <w:b/>
          <w:sz w:val="24"/>
          <w:szCs w:val="24"/>
        </w:rPr>
        <w:t xml:space="preserve">7A: </w:t>
      </w:r>
      <w:r w:rsidR="00DB676B">
        <w:rPr>
          <w:rFonts w:ascii="Californian FB" w:eastAsia="Times New Roman" w:hAnsi="Californian FB" w:cstheme="minorHAnsi"/>
          <w:b/>
          <w:sz w:val="24"/>
          <w:szCs w:val="24"/>
        </w:rPr>
        <w:t xml:space="preserve">A </w:t>
      </w:r>
      <w:r w:rsidRPr="00FF7EDF">
        <w:rPr>
          <w:rFonts w:ascii="Californian FB" w:eastAsia="Times New Roman" w:hAnsi="Californian FB" w:cstheme="minorHAnsi"/>
          <w:b/>
          <w:sz w:val="24"/>
          <w:szCs w:val="24"/>
        </w:rPr>
        <w:t xml:space="preserve">Video </w:t>
      </w:r>
      <w:r w:rsidR="00DB676B">
        <w:rPr>
          <w:rFonts w:ascii="Californian FB" w:eastAsia="Times New Roman" w:hAnsi="Californian FB" w:cstheme="minorHAnsi"/>
          <w:b/>
          <w:sz w:val="24"/>
          <w:szCs w:val="24"/>
        </w:rPr>
        <w:t>Search Engine Exceeds Fair Use Limits.</w:t>
      </w:r>
    </w:p>
    <w:p w14:paraId="4A1D9737" w14:textId="467F22D3" w:rsidR="00A56ED7" w:rsidRDefault="00AA1E3D" w:rsidP="00420EEF">
      <w:pPr>
        <w:shd w:val="clear" w:color="auto" w:fill="FFFFFF"/>
        <w:ind w:firstLine="720"/>
        <w:jc w:val="both"/>
        <w:rPr>
          <w:rFonts w:ascii="Californian FB" w:eastAsia="Times New Roman" w:hAnsi="Californian FB" w:cstheme="minorHAnsi"/>
          <w:sz w:val="24"/>
          <w:szCs w:val="24"/>
        </w:rPr>
      </w:pPr>
      <w:proofErr w:type="spellStart"/>
      <w:r>
        <w:rPr>
          <w:rFonts w:ascii="Californian FB" w:eastAsia="Times New Roman" w:hAnsi="Californian FB" w:cstheme="minorHAnsi"/>
          <w:sz w:val="24"/>
          <w:szCs w:val="24"/>
        </w:rPr>
        <w:t>TV</w:t>
      </w:r>
      <w:r w:rsidR="004712A3">
        <w:rPr>
          <w:rFonts w:ascii="Californian FB" w:eastAsia="Times New Roman" w:hAnsi="Californian FB" w:cstheme="minorHAnsi"/>
          <w:sz w:val="24"/>
          <w:szCs w:val="24"/>
        </w:rPr>
        <w:t>Eyes</w:t>
      </w:r>
      <w:proofErr w:type="spellEnd"/>
      <w:r w:rsidR="004712A3">
        <w:rPr>
          <w:rFonts w:ascii="Californian FB" w:eastAsia="Times New Roman" w:hAnsi="Californian FB" w:cstheme="minorHAnsi"/>
          <w:sz w:val="24"/>
          <w:szCs w:val="24"/>
        </w:rPr>
        <w:t xml:space="preserve"> runs a video search engine that is in many respects </w:t>
      </w:r>
      <w:r w:rsidR="00F97FF2">
        <w:rPr>
          <w:rFonts w:ascii="Californian FB" w:eastAsia="Times New Roman" w:hAnsi="Californian FB" w:cstheme="minorHAnsi"/>
          <w:sz w:val="24"/>
          <w:szCs w:val="24"/>
        </w:rPr>
        <w:t xml:space="preserve">similar to </w:t>
      </w:r>
      <w:r w:rsidR="004712A3">
        <w:rPr>
          <w:rFonts w:ascii="Californian FB" w:eastAsia="Times New Roman" w:hAnsi="Californian FB" w:cstheme="minorHAnsi"/>
          <w:sz w:val="24"/>
          <w:szCs w:val="24"/>
        </w:rPr>
        <w:t>Google Book Search.  It records 1400 channels of video 24 hours a day</w:t>
      </w:r>
      <w:r w:rsidR="00F97FF2">
        <w:rPr>
          <w:rFonts w:ascii="Californian FB" w:eastAsia="Times New Roman" w:hAnsi="Californian FB" w:cstheme="minorHAnsi"/>
          <w:sz w:val="24"/>
          <w:szCs w:val="24"/>
        </w:rPr>
        <w:t xml:space="preserve">.  It makes that video text-searchable by recording and indexing the closed-caption text provided with the video, or by using speech-to-text software. </w:t>
      </w:r>
      <w:r w:rsidR="00A56ED7">
        <w:rPr>
          <w:rFonts w:ascii="Californian FB" w:eastAsia="Times New Roman" w:hAnsi="Californian FB" w:cstheme="minorHAnsi"/>
          <w:sz w:val="24"/>
          <w:szCs w:val="24"/>
        </w:rPr>
        <w:t xml:space="preserve">Yet while Google Book Search only provides “snippets” – very short segments of text – when it does not have any agreement with the owner of copyright in a book, </w:t>
      </w:r>
      <w:proofErr w:type="spellStart"/>
      <w:r w:rsidR="00A56ED7">
        <w:rPr>
          <w:rFonts w:ascii="Californian FB" w:eastAsia="Times New Roman" w:hAnsi="Californian FB" w:cstheme="minorHAnsi"/>
          <w:sz w:val="24"/>
          <w:szCs w:val="24"/>
        </w:rPr>
        <w:t>TVEyes</w:t>
      </w:r>
      <w:proofErr w:type="spellEnd"/>
      <w:r w:rsidR="00A56ED7">
        <w:rPr>
          <w:rFonts w:ascii="Californian FB" w:eastAsia="Times New Roman" w:hAnsi="Californian FB" w:cstheme="minorHAnsi"/>
          <w:sz w:val="24"/>
          <w:szCs w:val="24"/>
        </w:rPr>
        <w:t xml:space="preserve"> provides </w:t>
      </w:r>
      <w:proofErr w:type="gramStart"/>
      <w:r w:rsidR="00A56ED7">
        <w:rPr>
          <w:rFonts w:ascii="Californian FB" w:eastAsia="Times New Roman" w:hAnsi="Californian FB" w:cstheme="minorHAnsi"/>
          <w:sz w:val="24"/>
          <w:szCs w:val="24"/>
        </w:rPr>
        <w:t>10 minute</w:t>
      </w:r>
      <w:proofErr w:type="gramEnd"/>
      <w:r w:rsidR="00A56ED7">
        <w:rPr>
          <w:rFonts w:ascii="Californian FB" w:eastAsia="Times New Roman" w:hAnsi="Californian FB" w:cstheme="minorHAnsi"/>
          <w:sz w:val="24"/>
          <w:szCs w:val="24"/>
        </w:rPr>
        <w:t xml:space="preserve"> segments of video, for its approximately $500 per month subscription fee.  Those ten-minute clips are what made the difference for both the District Court and the Second Circuit, which held </w:t>
      </w:r>
      <w:r>
        <w:rPr>
          <w:rFonts w:ascii="Californian FB" w:eastAsia="Times New Roman" w:hAnsi="Californian FB" w:cstheme="minorHAnsi"/>
          <w:sz w:val="24"/>
          <w:szCs w:val="24"/>
        </w:rPr>
        <w:t xml:space="preserve">in </w:t>
      </w:r>
      <w:hyperlink r:id="rId35" w:history="1">
        <w:r w:rsidRPr="001202ED">
          <w:rPr>
            <w:rStyle w:val="Hyperlink"/>
            <w:rFonts w:ascii="Californian FB" w:eastAsia="Times New Roman" w:hAnsi="Californian FB" w:cstheme="minorHAnsi"/>
            <w:sz w:val="24"/>
            <w:szCs w:val="24"/>
          </w:rPr>
          <w:t xml:space="preserve">Fox News Network, LLC v. </w:t>
        </w:r>
        <w:proofErr w:type="spellStart"/>
        <w:r w:rsidRPr="001202ED">
          <w:rPr>
            <w:rStyle w:val="Hyperlink"/>
            <w:rFonts w:ascii="Californian FB" w:eastAsia="Times New Roman" w:hAnsi="Californian FB" w:cstheme="minorHAnsi"/>
            <w:sz w:val="24"/>
            <w:szCs w:val="24"/>
          </w:rPr>
          <w:t>TVEyes</w:t>
        </w:r>
        <w:proofErr w:type="spellEnd"/>
        <w:r w:rsidRPr="001202ED">
          <w:rPr>
            <w:rStyle w:val="Hyperlink"/>
            <w:rFonts w:ascii="Californian FB" w:eastAsia="Times New Roman" w:hAnsi="Californian FB" w:cstheme="minorHAnsi"/>
            <w:sz w:val="24"/>
            <w:szCs w:val="24"/>
          </w:rPr>
          <w:t>, Inc., 883 F.3d 169 (2018)</w:t>
        </w:r>
      </w:hyperlink>
      <w:r w:rsidR="001202ED">
        <w:rPr>
          <w:rFonts w:ascii="Californian FB" w:eastAsia="Times New Roman" w:hAnsi="Californian FB" w:cstheme="minorHAnsi"/>
          <w:sz w:val="24"/>
          <w:szCs w:val="24"/>
        </w:rPr>
        <w:t xml:space="preserve"> </w:t>
      </w:r>
      <w:r w:rsidR="00A56ED7">
        <w:rPr>
          <w:rFonts w:ascii="Californian FB" w:eastAsia="Times New Roman" w:hAnsi="Californian FB" w:cstheme="minorHAnsi"/>
          <w:sz w:val="24"/>
          <w:szCs w:val="24"/>
        </w:rPr>
        <w:t xml:space="preserve">that </w:t>
      </w:r>
      <w:proofErr w:type="spellStart"/>
      <w:r w:rsidR="00A56ED7">
        <w:rPr>
          <w:rFonts w:ascii="Californian FB" w:eastAsia="Times New Roman" w:hAnsi="Californian FB" w:cstheme="minorHAnsi"/>
          <w:sz w:val="24"/>
          <w:szCs w:val="24"/>
        </w:rPr>
        <w:t>TVEyes</w:t>
      </w:r>
      <w:proofErr w:type="spellEnd"/>
      <w:r w:rsidR="00A56ED7">
        <w:rPr>
          <w:rFonts w:ascii="Californian FB" w:eastAsia="Times New Roman" w:hAnsi="Californian FB" w:cstheme="minorHAnsi"/>
          <w:sz w:val="24"/>
          <w:szCs w:val="24"/>
        </w:rPr>
        <w:t xml:space="preserve">’ use of Fox News video did not qualify as a fair use. The Second Circuit found that </w:t>
      </w:r>
      <w:proofErr w:type="spellStart"/>
      <w:r w:rsidR="00A56ED7">
        <w:rPr>
          <w:rFonts w:ascii="Californian FB" w:eastAsia="Times New Roman" w:hAnsi="Californian FB" w:cstheme="minorHAnsi"/>
          <w:sz w:val="24"/>
          <w:szCs w:val="24"/>
        </w:rPr>
        <w:t>TVEyes</w:t>
      </w:r>
      <w:proofErr w:type="spellEnd"/>
      <w:r w:rsidR="00A56ED7">
        <w:rPr>
          <w:rFonts w:ascii="Californian FB" w:eastAsia="Times New Roman" w:hAnsi="Californian FB" w:cstheme="minorHAnsi"/>
          <w:sz w:val="24"/>
          <w:szCs w:val="24"/>
        </w:rPr>
        <w:t xml:space="preserve">’ use was only “somewhat transformative,” because while it provided search functionality, it presented the ten-minute clips “as is,” without alteration or comment. The for-profit service was also “commercial,” even though it required clients to promise that they would only use the clips for “internal purposes.” Given the brevity of the average news segment that </w:t>
      </w:r>
      <w:proofErr w:type="spellStart"/>
      <w:r w:rsidR="00A56ED7">
        <w:rPr>
          <w:rFonts w:ascii="Californian FB" w:eastAsia="Times New Roman" w:hAnsi="Californian FB" w:cstheme="minorHAnsi"/>
          <w:sz w:val="24"/>
          <w:szCs w:val="24"/>
        </w:rPr>
        <w:t>TVEyes</w:t>
      </w:r>
      <w:proofErr w:type="spellEnd"/>
      <w:r w:rsidR="00A56ED7">
        <w:rPr>
          <w:rFonts w:ascii="Californian FB" w:eastAsia="Times New Roman" w:hAnsi="Californian FB" w:cstheme="minorHAnsi"/>
          <w:sz w:val="24"/>
          <w:szCs w:val="24"/>
        </w:rPr>
        <w:t xml:space="preserve"> users seek, the 10-minute clips probably give them the entirety of what they want, weighing against fair use. </w:t>
      </w:r>
      <w:r w:rsidR="0036570A">
        <w:rPr>
          <w:rFonts w:ascii="Californian FB" w:eastAsia="Times New Roman" w:hAnsi="Californian FB" w:cstheme="minorHAnsi"/>
          <w:sz w:val="24"/>
          <w:szCs w:val="24"/>
        </w:rPr>
        <w:t xml:space="preserve">Finally, the success of the </w:t>
      </w:r>
      <w:proofErr w:type="spellStart"/>
      <w:r w:rsidR="0036570A">
        <w:rPr>
          <w:rFonts w:ascii="Californian FB" w:eastAsia="Times New Roman" w:hAnsi="Californian FB" w:cstheme="minorHAnsi"/>
          <w:sz w:val="24"/>
          <w:szCs w:val="24"/>
        </w:rPr>
        <w:t>TVEyes</w:t>
      </w:r>
      <w:proofErr w:type="spellEnd"/>
      <w:r w:rsidR="0036570A">
        <w:rPr>
          <w:rFonts w:ascii="Californian FB" w:eastAsia="Times New Roman" w:hAnsi="Californian FB" w:cstheme="minorHAnsi"/>
          <w:sz w:val="24"/>
          <w:szCs w:val="24"/>
        </w:rPr>
        <w:t xml:space="preserve"> service shows that there is a market for searchable access to televised content, and </w:t>
      </w:r>
      <w:proofErr w:type="spellStart"/>
      <w:r w:rsidR="0036570A">
        <w:rPr>
          <w:rFonts w:ascii="Californian FB" w:eastAsia="Times New Roman" w:hAnsi="Californian FB" w:cstheme="minorHAnsi"/>
          <w:sz w:val="24"/>
          <w:szCs w:val="24"/>
        </w:rPr>
        <w:t>TVEyes</w:t>
      </w:r>
      <w:proofErr w:type="spellEnd"/>
      <w:r w:rsidR="0036570A">
        <w:rPr>
          <w:rFonts w:ascii="Californian FB" w:eastAsia="Times New Roman" w:hAnsi="Californian FB" w:cstheme="minorHAnsi"/>
          <w:sz w:val="24"/>
          <w:szCs w:val="24"/>
        </w:rPr>
        <w:t xml:space="preserve"> is thus undercutting Fox News’s ability to license searchable access to content in which it owns copyright. </w:t>
      </w:r>
    </w:p>
    <w:p w14:paraId="1DDDE020" w14:textId="249EA331" w:rsidR="0036570A" w:rsidRPr="0036570A" w:rsidRDefault="0036570A" w:rsidP="00ED6BE0">
      <w:pPr>
        <w:shd w:val="clear" w:color="auto" w:fill="FFFFFF"/>
        <w:ind w:firstLine="720"/>
        <w:jc w:val="both"/>
        <w:rPr>
          <w:rFonts w:ascii="Californian FB" w:eastAsia="Times New Roman" w:hAnsi="Californian FB" w:cstheme="minorHAnsi"/>
          <w:sz w:val="24"/>
          <w:szCs w:val="24"/>
        </w:rPr>
      </w:pPr>
      <w:r>
        <w:rPr>
          <w:rFonts w:ascii="Californian FB" w:eastAsia="Times New Roman" w:hAnsi="Californian FB" w:cstheme="minorHAnsi"/>
          <w:sz w:val="24"/>
          <w:szCs w:val="24"/>
        </w:rPr>
        <w:t xml:space="preserve">Do you agree with the distinctions that the Second Circuit </w:t>
      </w:r>
      <w:r w:rsidR="00AA1E3D">
        <w:rPr>
          <w:rFonts w:ascii="Californian FB" w:eastAsia="Times New Roman" w:hAnsi="Californian FB" w:cstheme="minorHAnsi"/>
          <w:sz w:val="24"/>
          <w:szCs w:val="24"/>
        </w:rPr>
        <w:t>drew</w:t>
      </w:r>
      <w:r>
        <w:rPr>
          <w:rFonts w:ascii="Californian FB" w:eastAsia="Times New Roman" w:hAnsi="Californian FB" w:cstheme="minorHAnsi"/>
          <w:sz w:val="24"/>
          <w:szCs w:val="24"/>
        </w:rPr>
        <w:t xml:space="preserve"> between Google Book Search and the </w:t>
      </w:r>
      <w:proofErr w:type="spellStart"/>
      <w:r>
        <w:rPr>
          <w:rFonts w:ascii="Californian FB" w:eastAsia="Times New Roman" w:hAnsi="Californian FB" w:cstheme="minorHAnsi"/>
          <w:sz w:val="24"/>
          <w:szCs w:val="24"/>
        </w:rPr>
        <w:t>TVEyes</w:t>
      </w:r>
      <w:proofErr w:type="spellEnd"/>
      <w:r>
        <w:rPr>
          <w:rFonts w:ascii="Californian FB" w:eastAsia="Times New Roman" w:hAnsi="Californian FB" w:cstheme="minorHAnsi"/>
          <w:sz w:val="24"/>
          <w:szCs w:val="24"/>
        </w:rPr>
        <w:t xml:space="preserve"> service?  Should the service be deemed “commercial” even when subscribers promised to make only “internal use” of the clips, presumably meaning that they </w:t>
      </w:r>
      <w:r>
        <w:rPr>
          <w:rFonts w:ascii="Californian FB" w:eastAsia="Times New Roman" w:hAnsi="Californian FB" w:cstheme="minorHAnsi"/>
          <w:sz w:val="24"/>
          <w:szCs w:val="24"/>
        </w:rPr>
        <w:lastRenderedPageBreak/>
        <w:t xml:space="preserve">would not publicly perform or distribute copies of them?  Does the $500 per month subscription fee make the </w:t>
      </w:r>
      <w:proofErr w:type="spellStart"/>
      <w:r>
        <w:rPr>
          <w:rFonts w:ascii="Californian FB" w:eastAsia="Times New Roman" w:hAnsi="Californian FB" w:cstheme="minorHAnsi"/>
          <w:sz w:val="24"/>
          <w:szCs w:val="24"/>
        </w:rPr>
        <w:t>TVEyes</w:t>
      </w:r>
      <w:proofErr w:type="spellEnd"/>
      <w:r>
        <w:rPr>
          <w:rFonts w:ascii="Californian FB" w:eastAsia="Times New Roman" w:hAnsi="Californian FB" w:cstheme="minorHAnsi"/>
          <w:sz w:val="24"/>
          <w:szCs w:val="24"/>
        </w:rPr>
        <w:t xml:space="preserve"> market different from the market consisting of ordinary Fox News watchers, and should that make a different to the fair use analysis? Compare </w:t>
      </w:r>
      <w:proofErr w:type="spellStart"/>
      <w:r>
        <w:rPr>
          <w:rFonts w:ascii="Californian FB" w:eastAsia="Times New Roman" w:hAnsi="Californian FB" w:cstheme="minorHAnsi"/>
          <w:sz w:val="24"/>
          <w:szCs w:val="24"/>
        </w:rPr>
        <w:t>Cariou</w:t>
      </w:r>
      <w:proofErr w:type="spellEnd"/>
      <w:r w:rsidR="00AA1E3D">
        <w:rPr>
          <w:rFonts w:ascii="Californian FB" w:eastAsia="Times New Roman" w:hAnsi="Californian FB" w:cstheme="minorHAnsi"/>
          <w:sz w:val="24"/>
          <w:szCs w:val="24"/>
        </w:rPr>
        <w:t xml:space="preserve"> v. Prince</w:t>
      </w:r>
      <w:r>
        <w:rPr>
          <w:rFonts w:ascii="Californian FB" w:eastAsia="Times New Roman" w:hAnsi="Californian FB" w:cstheme="minorHAnsi"/>
          <w:sz w:val="24"/>
          <w:szCs w:val="24"/>
        </w:rPr>
        <w:t xml:space="preserve">, </w:t>
      </w:r>
      <w:r w:rsidR="00AA1E3D">
        <w:rPr>
          <w:rFonts w:ascii="Californian FB" w:eastAsia="Times New Roman" w:hAnsi="Californian FB" w:cstheme="minorHAnsi"/>
          <w:sz w:val="24"/>
          <w:szCs w:val="24"/>
        </w:rPr>
        <w:t xml:space="preserve">discussed above in note 6, </w:t>
      </w:r>
      <w:r>
        <w:rPr>
          <w:rFonts w:ascii="Californian FB" w:eastAsia="Times New Roman" w:hAnsi="Californian FB" w:cstheme="minorHAnsi"/>
          <w:sz w:val="24"/>
          <w:szCs w:val="24"/>
        </w:rPr>
        <w:t xml:space="preserve">in which the Second Circuit seemed to hold that the large price difference between Patrick </w:t>
      </w:r>
      <w:proofErr w:type="spellStart"/>
      <w:r>
        <w:rPr>
          <w:rFonts w:ascii="Californian FB" w:eastAsia="Times New Roman" w:hAnsi="Californian FB" w:cstheme="minorHAnsi"/>
          <w:sz w:val="24"/>
          <w:szCs w:val="24"/>
        </w:rPr>
        <w:t>Cariou’s</w:t>
      </w:r>
      <w:proofErr w:type="spellEnd"/>
      <w:r>
        <w:rPr>
          <w:rFonts w:ascii="Californian FB" w:eastAsia="Times New Roman" w:hAnsi="Californian FB" w:cstheme="minorHAnsi"/>
          <w:sz w:val="24"/>
          <w:szCs w:val="24"/>
        </w:rPr>
        <w:t xml:space="preserve"> photographs and the Richard Prince paintings that incorporated them weighed in favor of Prince’s having made fair use. Are </w:t>
      </w:r>
      <w:proofErr w:type="spellStart"/>
      <w:r>
        <w:rPr>
          <w:rFonts w:ascii="Californian FB" w:eastAsia="Times New Roman" w:hAnsi="Californian FB" w:cstheme="minorHAnsi"/>
          <w:i/>
          <w:sz w:val="24"/>
          <w:szCs w:val="24"/>
        </w:rPr>
        <w:t>TVEyes</w:t>
      </w:r>
      <w:proofErr w:type="spellEnd"/>
      <w:r>
        <w:rPr>
          <w:rFonts w:ascii="Californian FB" w:eastAsia="Times New Roman" w:hAnsi="Californian FB" w:cstheme="minorHAnsi"/>
          <w:i/>
          <w:sz w:val="24"/>
          <w:szCs w:val="24"/>
        </w:rPr>
        <w:t xml:space="preserve"> </w:t>
      </w:r>
      <w:r>
        <w:rPr>
          <w:rFonts w:ascii="Californian FB" w:eastAsia="Times New Roman" w:hAnsi="Californian FB" w:cstheme="minorHAnsi"/>
          <w:sz w:val="24"/>
          <w:szCs w:val="24"/>
        </w:rPr>
        <w:t xml:space="preserve">and </w:t>
      </w:r>
      <w:r>
        <w:rPr>
          <w:rFonts w:ascii="Californian FB" w:eastAsia="Times New Roman" w:hAnsi="Californian FB" w:cstheme="minorHAnsi"/>
          <w:i/>
          <w:sz w:val="24"/>
          <w:szCs w:val="24"/>
        </w:rPr>
        <w:t xml:space="preserve">Prince </w:t>
      </w:r>
      <w:r>
        <w:rPr>
          <w:rFonts w:ascii="Californian FB" w:eastAsia="Times New Roman" w:hAnsi="Californian FB" w:cstheme="minorHAnsi"/>
          <w:sz w:val="24"/>
          <w:szCs w:val="24"/>
        </w:rPr>
        <w:t>in tension here?</w:t>
      </w:r>
    </w:p>
    <w:p w14:paraId="1BCC2152" w14:textId="30877143" w:rsidR="00B95F09" w:rsidRDefault="00FD0574" w:rsidP="00ED6BE0">
      <w:pPr>
        <w:shd w:val="clear" w:color="auto" w:fill="FFFFFF"/>
        <w:rPr>
          <w:rFonts w:ascii="Californian FB" w:eastAsia="Times New Roman" w:hAnsi="Californian FB" w:cstheme="minorHAnsi"/>
          <w:sz w:val="24"/>
          <w:szCs w:val="24"/>
        </w:rPr>
      </w:pPr>
      <w:r w:rsidRPr="006F7543">
        <w:rPr>
          <w:rFonts w:ascii="Californian FB" w:eastAsia="Times New Roman" w:hAnsi="Californian FB" w:cstheme="minorHAnsi"/>
          <w:noProof/>
          <w:sz w:val="24"/>
          <w:szCs w:val="24"/>
        </w:rPr>
        <w:drawing>
          <wp:anchor distT="0" distB="0" distL="114300" distR="114300" simplePos="0" relativeHeight="251678720" behindDoc="0" locked="0" layoutInCell="1" allowOverlap="1" wp14:anchorId="0EE6FAD3" wp14:editId="0C23A7AE">
            <wp:simplePos x="0" y="0"/>
            <wp:positionH relativeFrom="margin">
              <wp:posOffset>895350</wp:posOffset>
            </wp:positionH>
            <wp:positionV relativeFrom="paragraph">
              <wp:posOffset>83820</wp:posOffset>
            </wp:positionV>
            <wp:extent cx="4124325" cy="1957070"/>
            <wp:effectExtent l="76200" t="76200" r="142875" b="13843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screen">
                      <a:extLst>
                        <a:ext uri="{28A0092B-C50C-407E-A947-70E740481C1C}">
                          <a14:useLocalDpi xmlns:a14="http://schemas.microsoft.com/office/drawing/2010/main"/>
                        </a:ext>
                      </a:extLst>
                    </a:blip>
                    <a:srcRect l="9036" t="27382" r="18452" b="11413"/>
                    <a:stretch/>
                  </pic:blipFill>
                  <pic:spPr>
                    <a:xfrm>
                      <a:off x="0" y="0"/>
                      <a:ext cx="4124325" cy="195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C7E122" w14:textId="6EF46304" w:rsidR="006F7543" w:rsidRDefault="006F7543" w:rsidP="00ED6BE0">
      <w:pPr>
        <w:shd w:val="clear" w:color="auto" w:fill="FFFFFF"/>
        <w:rPr>
          <w:rFonts w:ascii="Californian FB" w:eastAsia="Times New Roman" w:hAnsi="Californian FB" w:cstheme="minorHAnsi"/>
          <w:sz w:val="24"/>
          <w:szCs w:val="24"/>
        </w:rPr>
      </w:pPr>
    </w:p>
    <w:p w14:paraId="0514CD2A" w14:textId="347F930D" w:rsidR="006F7543" w:rsidRDefault="006F7543" w:rsidP="00ED6BE0">
      <w:pPr>
        <w:shd w:val="clear" w:color="auto" w:fill="FFFFFF"/>
        <w:rPr>
          <w:rFonts w:ascii="Californian FB" w:eastAsia="Times New Roman" w:hAnsi="Californian FB" w:cstheme="minorHAnsi"/>
          <w:sz w:val="24"/>
          <w:szCs w:val="24"/>
        </w:rPr>
      </w:pPr>
    </w:p>
    <w:p w14:paraId="0A0F88D2" w14:textId="22F33792" w:rsidR="006F7543" w:rsidRDefault="006F7543" w:rsidP="00ED6BE0">
      <w:pPr>
        <w:shd w:val="clear" w:color="auto" w:fill="FFFFFF"/>
        <w:rPr>
          <w:rFonts w:ascii="Californian FB" w:eastAsia="Times New Roman" w:hAnsi="Californian FB" w:cstheme="minorHAnsi"/>
          <w:sz w:val="24"/>
          <w:szCs w:val="24"/>
        </w:rPr>
      </w:pPr>
    </w:p>
    <w:p w14:paraId="7316F169" w14:textId="6CBEC4C4" w:rsidR="0083263B" w:rsidRDefault="0083263B" w:rsidP="00ED6BE0">
      <w:pPr>
        <w:shd w:val="clear" w:color="auto" w:fill="FFFFFF"/>
        <w:rPr>
          <w:rFonts w:ascii="Californian FB" w:hAnsi="Californian FB" w:cs="BerkeleyStd-Book"/>
          <w:b/>
          <w:sz w:val="28"/>
          <w:szCs w:val="28"/>
        </w:rPr>
      </w:pPr>
    </w:p>
    <w:p w14:paraId="6D8F826F" w14:textId="358BBBDC" w:rsidR="000E35AC" w:rsidRDefault="000E35AC" w:rsidP="00ED6BE0">
      <w:pPr>
        <w:shd w:val="clear" w:color="auto" w:fill="FFFFFF"/>
        <w:rPr>
          <w:rFonts w:ascii="Californian FB" w:hAnsi="Californian FB" w:cs="BerkeleyStd-Book"/>
          <w:b/>
          <w:sz w:val="28"/>
          <w:szCs w:val="28"/>
        </w:rPr>
      </w:pPr>
    </w:p>
    <w:p w14:paraId="0DC4D3BA" w14:textId="5216B8AC" w:rsidR="000E35AC" w:rsidRDefault="000E35AC" w:rsidP="00ED6BE0">
      <w:pPr>
        <w:shd w:val="clear" w:color="auto" w:fill="FFFFFF"/>
        <w:rPr>
          <w:rFonts w:ascii="Californian FB" w:hAnsi="Californian FB" w:cs="BerkeleyStd-Book"/>
          <w:b/>
          <w:sz w:val="28"/>
          <w:szCs w:val="28"/>
        </w:rPr>
      </w:pPr>
    </w:p>
    <w:p w14:paraId="09060605" w14:textId="4CB77D7E" w:rsidR="000E35AC" w:rsidRDefault="00FD0574" w:rsidP="00ED6BE0">
      <w:pPr>
        <w:shd w:val="clear" w:color="auto" w:fill="FFFFFF"/>
        <w:rPr>
          <w:rFonts w:ascii="Californian FB" w:hAnsi="Californian FB" w:cs="BerkeleyStd-Book"/>
          <w:b/>
          <w:sz w:val="28"/>
          <w:szCs w:val="28"/>
        </w:rPr>
      </w:pPr>
      <w:r>
        <w:rPr>
          <w:rFonts w:ascii="Californian FB" w:eastAsia="Times New Roman" w:hAnsi="Californian FB" w:cstheme="minorHAnsi"/>
          <w:noProof/>
          <w:sz w:val="24"/>
          <w:szCs w:val="24"/>
        </w:rPr>
        <mc:AlternateContent>
          <mc:Choice Requires="wps">
            <w:drawing>
              <wp:anchor distT="0" distB="0" distL="114300" distR="114300" simplePos="0" relativeHeight="251679744" behindDoc="0" locked="0" layoutInCell="1" allowOverlap="1" wp14:anchorId="113BD47B" wp14:editId="6AE35385">
                <wp:simplePos x="0" y="0"/>
                <wp:positionH relativeFrom="margin">
                  <wp:align>center</wp:align>
                </wp:positionH>
                <wp:positionV relativeFrom="paragraph">
                  <wp:posOffset>21590</wp:posOffset>
                </wp:positionV>
                <wp:extent cx="4067810" cy="410210"/>
                <wp:effectExtent l="0" t="0" r="27940" b="27940"/>
                <wp:wrapNone/>
                <wp:docPr id="12" name="Text Box 12"/>
                <wp:cNvGraphicFramePr/>
                <a:graphic xmlns:a="http://schemas.openxmlformats.org/drawingml/2006/main">
                  <a:graphicData uri="http://schemas.microsoft.com/office/word/2010/wordprocessingShape">
                    <wps:wsp>
                      <wps:cNvSpPr txBox="1"/>
                      <wps:spPr>
                        <a:xfrm>
                          <a:off x="0" y="0"/>
                          <a:ext cx="4067810" cy="410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BC353" w14:textId="660F003D" w:rsidR="00C747A6" w:rsidRPr="006F7543" w:rsidRDefault="00C747A6" w:rsidP="006F7543">
                            <w:pPr>
                              <w:jc w:val="center"/>
                              <w:rPr>
                                <w:sz w:val="28"/>
                                <w:szCs w:val="28"/>
                              </w:rPr>
                            </w:pPr>
                            <w:r w:rsidRPr="006F7543">
                              <w:rPr>
                                <w:sz w:val="28"/>
                                <w:szCs w:val="28"/>
                              </w:rPr>
                              <w:t>From the TV Eyes Web Site Home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BD47B" id="Text Box 12" o:spid="_x0000_s1031" type="#_x0000_t202" style="position:absolute;margin-left:0;margin-top:1.7pt;width:320.3pt;height:32.3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" fillcolor="white [3201]" strokeweight=".5pt">
                <v:textbox>
                  <w:txbxContent>
                    <w:p w14:paraId="734BC353" w14:textId="660F003D" w:rsidR="00C747A6" w:rsidRPr="006F7543" w:rsidRDefault="00C747A6" w:rsidP="006F7543">
                      <w:pPr>
                        <w:jc w:val="center"/>
                        <w:rPr>
                          <w:sz w:val="28"/>
                          <w:szCs w:val="28"/>
                        </w:rPr>
                      </w:pPr>
                      <w:r w:rsidRPr="006F7543">
                        <w:rPr>
                          <w:sz w:val="28"/>
                          <w:szCs w:val="28"/>
                        </w:rPr>
                        <w:t>From the TV Eyes Web Site Home Page</w:t>
                      </w:r>
                    </w:p>
                  </w:txbxContent>
                </v:textbox>
                <w10:wrap anchorx="margin"/>
              </v:shape>
            </w:pict>
          </mc:Fallback>
        </mc:AlternateContent>
      </w:r>
    </w:p>
    <w:p w14:paraId="71A57B5D" w14:textId="1FF08C60" w:rsidR="000E35AC" w:rsidRDefault="000E35AC" w:rsidP="00ED6BE0">
      <w:pPr>
        <w:shd w:val="clear" w:color="auto" w:fill="FFFFFF"/>
        <w:rPr>
          <w:rFonts w:ascii="Californian FB" w:hAnsi="Californian FB" w:cs="BerkeleyStd-Book"/>
          <w:b/>
          <w:sz w:val="28"/>
          <w:szCs w:val="28"/>
        </w:rPr>
      </w:pPr>
    </w:p>
    <w:p w14:paraId="6A460262" w14:textId="1FC3FB90" w:rsidR="009C74CF" w:rsidRDefault="009C74CF" w:rsidP="00ED6BE0">
      <w:pPr>
        <w:shd w:val="clear" w:color="auto" w:fill="FFFFFF"/>
        <w:rPr>
          <w:rFonts w:ascii="Californian FB" w:hAnsi="Californian FB" w:cs="BerkeleyStd-Book"/>
          <w:b/>
          <w:sz w:val="28"/>
          <w:szCs w:val="28"/>
        </w:rPr>
      </w:pPr>
      <w:r w:rsidRPr="009C74CF">
        <w:rPr>
          <w:rFonts w:ascii="Californian FB" w:hAnsi="Californian FB" w:cs="BerkeleyStd-Book"/>
          <w:b/>
          <w:sz w:val="28"/>
          <w:szCs w:val="28"/>
        </w:rPr>
        <w:t xml:space="preserve">p. 396 – </w:t>
      </w:r>
      <w:r>
        <w:rPr>
          <w:rFonts w:ascii="Californian FB" w:hAnsi="Californian FB" w:cs="BerkeleyStd-Book"/>
          <w:b/>
          <w:sz w:val="28"/>
          <w:szCs w:val="28"/>
        </w:rPr>
        <w:t xml:space="preserve">Replace “C. Interoperability and Reverse Engineering,” pp. 396-404, with the </w:t>
      </w:r>
      <w:r w:rsidRPr="009C74CF">
        <w:rPr>
          <w:rFonts w:ascii="Californian FB" w:hAnsi="Californian FB" w:cs="BerkeleyStd-Book"/>
          <w:b/>
          <w:sz w:val="28"/>
          <w:szCs w:val="28"/>
        </w:rPr>
        <w:t>following</w:t>
      </w:r>
    </w:p>
    <w:p w14:paraId="44FDBA8F" w14:textId="30F7D2D4" w:rsidR="00991083" w:rsidRPr="00FF7EDF" w:rsidRDefault="00991083" w:rsidP="00ED6BE0">
      <w:pPr>
        <w:shd w:val="clear" w:color="auto" w:fill="FFFFFF"/>
        <w:rPr>
          <w:rFonts w:ascii="Californian FB" w:hAnsi="Californian FB" w:cs="BerkeleyStd-Book"/>
          <w:b/>
          <w:sz w:val="28"/>
          <w:szCs w:val="28"/>
        </w:rPr>
      </w:pPr>
      <w:r w:rsidRPr="00FF7EDF">
        <w:rPr>
          <w:rFonts w:ascii="Californian FB" w:hAnsi="Californian FB" w:cs="BerkeleyStd-Book"/>
          <w:b/>
          <w:sz w:val="28"/>
          <w:szCs w:val="28"/>
        </w:rPr>
        <w:t xml:space="preserve">C. </w:t>
      </w:r>
      <w:r w:rsidR="009C74CF">
        <w:rPr>
          <w:rFonts w:ascii="Californian FB" w:hAnsi="Californian FB" w:cs="BerkeleyStd-Book"/>
          <w:b/>
          <w:sz w:val="28"/>
          <w:szCs w:val="28"/>
        </w:rPr>
        <w:t>Fair Use and Computer Programs</w:t>
      </w:r>
    </w:p>
    <w:p w14:paraId="6A75C817" w14:textId="06D6FEC4" w:rsidR="006D0C29" w:rsidRDefault="006D0C29" w:rsidP="006D0C29">
      <w:pPr>
        <w:shd w:val="clear" w:color="auto" w:fill="FFFFFF"/>
        <w:rPr>
          <w:rFonts w:ascii="Californian FB" w:eastAsia="Times New Roman" w:hAnsi="Californian FB" w:cstheme="minorHAnsi"/>
          <w:b/>
          <w:sz w:val="24"/>
          <w:szCs w:val="24"/>
        </w:rPr>
      </w:pPr>
      <w:r>
        <w:rPr>
          <w:rFonts w:ascii="Californian FB" w:eastAsia="Times New Roman" w:hAnsi="Californian FB" w:cstheme="minorHAnsi"/>
          <w:b/>
          <w:sz w:val="24"/>
          <w:szCs w:val="24"/>
        </w:rPr>
        <w:t>In June 2021, after an absence of over 25 years, the Supreme Court returned to consider the doctrine of fair use in the context of computer progr</w:t>
      </w:r>
      <w:r w:rsidR="008D2F50">
        <w:rPr>
          <w:rFonts w:ascii="Californian FB" w:eastAsia="Times New Roman" w:hAnsi="Californian FB" w:cstheme="minorHAnsi"/>
          <w:b/>
          <w:sz w:val="24"/>
          <w:szCs w:val="24"/>
        </w:rPr>
        <w:t>ams</w:t>
      </w:r>
      <w:r w:rsidR="009C74CF">
        <w:rPr>
          <w:rFonts w:ascii="Californian FB" w:eastAsia="Times New Roman" w:hAnsi="Californian FB" w:cstheme="minorHAnsi"/>
          <w:b/>
          <w:sz w:val="24"/>
          <w:szCs w:val="24"/>
        </w:rPr>
        <w:t xml:space="preserve"> and “application programming interfaces”:</w:t>
      </w:r>
      <w:r w:rsidR="0013779B">
        <w:rPr>
          <w:rFonts w:ascii="Californian FB" w:eastAsia="Times New Roman" w:hAnsi="Californian FB" w:cstheme="minorHAnsi"/>
          <w:b/>
          <w:sz w:val="24"/>
          <w:szCs w:val="24"/>
        </w:rPr>
        <w:t xml:space="preserve"> </w:t>
      </w:r>
    </w:p>
    <w:p w14:paraId="72E5892A" w14:textId="318C9784" w:rsidR="008D2F50" w:rsidRPr="00F37744" w:rsidRDefault="008D2F50" w:rsidP="008D2F50">
      <w:pPr>
        <w:widowControl w:val="0"/>
        <w:pBdr>
          <w:bottom w:val="single" w:sz="12" w:space="3" w:color="0033CC"/>
        </w:pBdr>
        <w:autoSpaceDE w:val="0"/>
        <w:autoSpaceDN w:val="0"/>
        <w:adjustRightInd w:val="0"/>
        <w:spacing w:after="80"/>
        <w:outlineLvl w:val="0"/>
        <w:rPr>
          <w:rFonts w:ascii="Californian FB" w:hAnsi="Californian FB"/>
          <w:b/>
          <w:bCs/>
          <w:i/>
          <w:iCs/>
          <w:color w:val="0000FF"/>
          <w:sz w:val="26"/>
          <w:szCs w:val="26"/>
        </w:rPr>
      </w:pPr>
      <w:r>
        <w:rPr>
          <w:rFonts w:ascii="Californian FB" w:hAnsi="Californian FB"/>
          <w:b/>
          <w:bCs/>
          <w:i/>
          <w:iCs/>
          <w:color w:val="0000FF"/>
          <w:sz w:val="26"/>
          <w:szCs w:val="26"/>
        </w:rPr>
        <w:t>Google LLC v. Oracle America, Inc.</w:t>
      </w:r>
      <w:r w:rsidRPr="00F37744">
        <w:rPr>
          <w:rFonts w:ascii="Californian FB" w:hAnsi="Californian FB"/>
          <w:b/>
          <w:bCs/>
          <w:i/>
          <w:iCs/>
          <w:color w:val="0000FF"/>
          <w:sz w:val="26"/>
          <w:szCs w:val="26"/>
        </w:rPr>
        <w:t xml:space="preserve"> </w:t>
      </w:r>
    </w:p>
    <w:p w14:paraId="6ACC175A" w14:textId="284AFA9F" w:rsidR="008D2F50"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United </w:t>
      </w:r>
      <w:r>
        <w:rPr>
          <w:rFonts w:ascii="Californian FB" w:hAnsi="Californian FB" w:cs="Times New Roman"/>
          <w:color w:val="000000"/>
          <w:sz w:val="24"/>
          <w:szCs w:val="24"/>
        </w:rPr>
        <w:t>States Supreme Court, 2021</w:t>
      </w:r>
    </w:p>
    <w:p w14:paraId="2542B03D" w14:textId="2FE92AE6" w:rsidR="006D0C29" w:rsidRPr="008D2F50" w:rsidRDefault="008D2F50" w:rsidP="006D0C29">
      <w:pPr>
        <w:shd w:val="clear" w:color="auto" w:fill="FFFFFF"/>
        <w:rPr>
          <w:rFonts w:ascii="Californian FB" w:hAnsi="Californian FB" w:cs="Times New Roman"/>
          <w:color w:val="000000" w:themeColor="text1"/>
          <w:sz w:val="24"/>
          <w:szCs w:val="24"/>
        </w:rPr>
      </w:pPr>
      <w:r w:rsidRPr="008D2F50">
        <w:rPr>
          <w:rFonts w:ascii="Californian FB" w:hAnsi="Californian FB" w:cs="Times New Roman"/>
          <w:color w:val="000000" w:themeColor="text1"/>
          <w:sz w:val="24"/>
          <w:szCs w:val="24"/>
        </w:rPr>
        <w:t xml:space="preserve">141 </w:t>
      </w:r>
      <w:proofErr w:type="spellStart"/>
      <w:r w:rsidRPr="008D2F50">
        <w:rPr>
          <w:rFonts w:ascii="Californian FB" w:hAnsi="Californian FB" w:cs="Times New Roman"/>
          <w:color w:val="000000" w:themeColor="text1"/>
          <w:sz w:val="24"/>
          <w:szCs w:val="24"/>
        </w:rPr>
        <w:t>S.Ct</w:t>
      </w:r>
      <w:proofErr w:type="spellEnd"/>
      <w:r w:rsidRPr="008D2F50">
        <w:rPr>
          <w:rFonts w:ascii="Californian FB" w:hAnsi="Californian FB" w:cs="Times New Roman"/>
          <w:color w:val="000000" w:themeColor="text1"/>
          <w:sz w:val="24"/>
          <w:szCs w:val="24"/>
        </w:rPr>
        <w:t>. 1183</w:t>
      </w:r>
    </w:p>
    <w:p w14:paraId="68625E51" w14:textId="0F16AD84" w:rsidR="008D2F50" w:rsidRPr="004E7ED2" w:rsidRDefault="008D2F50" w:rsidP="008D2F50">
      <w:pPr>
        <w:widowControl w:val="0"/>
        <w:autoSpaceDE w:val="0"/>
        <w:autoSpaceDN w:val="0"/>
        <w:adjustRightInd w:val="0"/>
        <w:spacing w:before="200" w:after="200" w:line="240" w:lineRule="auto"/>
        <w:jc w:val="both"/>
        <w:rPr>
          <w:rFonts w:ascii="Californian FB" w:hAnsi="Californian FB" w:cs="Times New Roman"/>
          <w:color w:val="000000"/>
          <w:sz w:val="24"/>
          <w:szCs w:val="24"/>
        </w:rPr>
      </w:pPr>
      <w:bookmarkStart w:id="1" w:name="Id3df6529961311ebbb10beece37c6119_Target"/>
      <w:bookmarkStart w:id="2" w:name="co_anchor_I1b70a4e2cdd411eba03e924a66164"/>
      <w:bookmarkEnd w:id="1"/>
      <w:bookmarkEnd w:id="2"/>
      <w:r w:rsidRPr="004E7ED2">
        <w:rPr>
          <w:rFonts w:ascii="Californian FB" w:hAnsi="Californian FB" w:cs="Times New Roman"/>
          <w:color w:val="000000"/>
          <w:sz w:val="24"/>
          <w:szCs w:val="24"/>
        </w:rPr>
        <w:t xml:space="preserve">Justice </w:t>
      </w:r>
      <w:hyperlink r:id="rId37" w:history="1">
        <w:r w:rsidRPr="004E7ED2">
          <w:rPr>
            <w:rFonts w:ascii="Californian FB" w:hAnsi="Californian FB" w:cs="Times New Roman"/>
            <w:color w:val="000000"/>
            <w:sz w:val="24"/>
            <w:szCs w:val="24"/>
          </w:rPr>
          <w:t>BREYER</w:t>
        </w:r>
      </w:hyperlink>
      <w:r w:rsidRPr="004E7ED2">
        <w:rPr>
          <w:rFonts w:ascii="Californian FB" w:hAnsi="Californian FB" w:cs="Times New Roman"/>
          <w:color w:val="000000"/>
          <w:sz w:val="24"/>
          <w:szCs w:val="24"/>
        </w:rPr>
        <w:t xml:space="preserve"> delivered the opinion of the Court.</w:t>
      </w:r>
      <w:r w:rsidR="00B40918">
        <w:rPr>
          <w:rFonts w:ascii="Californian FB" w:hAnsi="Californian FB" w:cs="Times New Roman"/>
          <w:color w:val="000000"/>
          <w:sz w:val="24"/>
          <w:szCs w:val="24"/>
        </w:rPr>
        <w:t xml:space="preserve"> * * *</w:t>
      </w:r>
    </w:p>
    <w:p w14:paraId="0204D4EE" w14:textId="1BC1F55C" w:rsidR="008D2F50" w:rsidRPr="004E7ED2" w:rsidRDefault="008D2F50" w:rsidP="00422F67">
      <w:pPr>
        <w:widowControl w:val="0"/>
        <w:autoSpaceDE w:val="0"/>
        <w:autoSpaceDN w:val="0"/>
        <w:adjustRightInd w:val="0"/>
        <w:spacing w:before="100" w:beforeAutospacing="1" w:after="0" w:line="240" w:lineRule="auto"/>
        <w:jc w:val="center"/>
        <w:rPr>
          <w:rFonts w:ascii="Californian FB" w:hAnsi="Californian FB" w:cs="Times New Roman"/>
          <w:color w:val="000000"/>
          <w:sz w:val="24"/>
          <w:szCs w:val="24"/>
        </w:rPr>
      </w:pPr>
      <w:bookmarkStart w:id="3" w:name="co_anchor_I1b919a62cdd411eba03e924a66164"/>
      <w:bookmarkStart w:id="4" w:name="co_pp_sp_708_1190_1"/>
      <w:bookmarkEnd w:id="3"/>
      <w:bookmarkEnd w:id="4"/>
      <w:r w:rsidRPr="004E7ED2">
        <w:rPr>
          <w:rFonts w:ascii="Californian FB" w:hAnsi="Californian FB" w:cs="Times New Roman"/>
          <w:color w:val="000000"/>
          <w:sz w:val="24"/>
          <w:szCs w:val="24"/>
        </w:rPr>
        <w:t>I</w:t>
      </w:r>
    </w:p>
    <w:p w14:paraId="0E69520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In 2005, Google acquired Android, Inc., a startup firm that hoped to become involved in smartphone software. Google sought, through Android, to develop a software platform for mobile devices like smartphones. A platform provides the necessary infrastructure for computer programmers to develop new programs and applications. One might think of a software platform as a kind of factory floor where computer programmers (analogous to autoworkers, designers, or manufacturers) might come, use sets of tools found there, and create new applications for use in, say, smartphones.</w:t>
      </w:r>
    </w:p>
    <w:p w14:paraId="797DA147" w14:textId="21C9EADB" w:rsidR="008D2F50" w:rsidRPr="004E7ED2" w:rsidRDefault="0077575E"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3D7E14">
        <w:rPr>
          <w:rFonts w:ascii="Californian FB" w:hAnsi="Californian FB"/>
          <w:noProof/>
          <w:color w:val="000000"/>
          <w:sz w:val="24"/>
          <w:szCs w:val="24"/>
        </w:rPr>
        <w:lastRenderedPageBreak/>
        <mc:AlternateContent>
          <mc:Choice Requires="wps">
            <w:drawing>
              <wp:anchor distT="0" distB="0" distL="114300" distR="114300" simplePos="0" relativeHeight="251716608" behindDoc="0" locked="0" layoutInCell="1" allowOverlap="1" wp14:anchorId="22F1D343" wp14:editId="0F11122F">
                <wp:simplePos x="0" y="0"/>
                <wp:positionH relativeFrom="column">
                  <wp:posOffset>0</wp:posOffset>
                </wp:positionH>
                <wp:positionV relativeFrom="paragraph">
                  <wp:posOffset>107950</wp:posOffset>
                </wp:positionV>
                <wp:extent cx="2299970" cy="891540"/>
                <wp:effectExtent l="0" t="0" r="5080" b="635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891540"/>
                        </a:xfrm>
                        <a:prstGeom prst="rect">
                          <a:avLst/>
                        </a:prstGeom>
                        <a:solidFill>
                          <a:srgbClr val="B8CCE4"/>
                        </a:solidFill>
                        <a:ln w="9525">
                          <a:noFill/>
                          <a:miter lim="800000"/>
                          <a:headEnd/>
                          <a:tailEnd/>
                        </a:ln>
                      </wps:spPr>
                      <wps:txbx>
                        <w:txbxContent>
                          <w:p w14:paraId="2DDC0E49" w14:textId="1D5CB753" w:rsidR="00C747A6" w:rsidRPr="00033D51" w:rsidRDefault="003A766B" w:rsidP="0077575E">
                            <w:pPr>
                              <w:spacing w:after="120"/>
                              <w:jc w:val="center"/>
                              <w:rPr>
                                <w:rFonts w:ascii="Californian FB" w:hAnsi="Californian FB"/>
                                <w:b/>
                                <w:sz w:val="20"/>
                                <w:szCs w:val="20"/>
                              </w:rPr>
                            </w:pPr>
                            <w:r>
                              <w:rPr>
                                <w:rFonts w:ascii="Californian FB" w:hAnsi="Californian FB"/>
                                <w:b/>
                                <w:sz w:val="20"/>
                                <w:szCs w:val="20"/>
                              </w:rPr>
                              <w:t>FOOD FOR THOUGHT</w:t>
                            </w:r>
                          </w:p>
                          <w:p w14:paraId="6E1CDC9C" w14:textId="6C2E2FDE" w:rsidR="00C747A6" w:rsidRPr="00033D51" w:rsidRDefault="009B5094" w:rsidP="0077575E">
                            <w:pPr>
                              <w:spacing w:after="120"/>
                              <w:jc w:val="both"/>
                              <w:rPr>
                                <w:rFonts w:ascii="Californian FB" w:hAnsi="Californian FB"/>
                                <w:sz w:val="20"/>
                                <w:szCs w:val="20"/>
                              </w:rPr>
                            </w:pPr>
                            <w:r>
                              <w:rPr>
                                <w:rFonts w:ascii="Californian FB" w:hAnsi="Californian FB"/>
                                <w:sz w:val="20"/>
                                <w:szCs w:val="20"/>
                              </w:rPr>
                              <w:t>Is the analogy between a software platform and a factory floor helpful? Note that there is one way in which it may be misleading. A toaster or a clothes dryer might be built with sophisticated machinery, but once it leaves the factory, it needs only electricity to work; it doesn’t need a</w:t>
                            </w:r>
                            <w:r w:rsidR="003A766B">
                              <w:rPr>
                                <w:rFonts w:ascii="Californian FB" w:hAnsi="Californian FB"/>
                                <w:sz w:val="20"/>
                                <w:szCs w:val="20"/>
                              </w:rPr>
                              <w:t>ny</w:t>
                            </w:r>
                            <w:r>
                              <w:rPr>
                                <w:rFonts w:ascii="Californian FB" w:hAnsi="Californian FB"/>
                                <w:sz w:val="20"/>
                                <w:szCs w:val="20"/>
                              </w:rPr>
                              <w:t xml:space="preserve"> continuing connection or support. By contrast, the applications built with the help of Java SE can only </w:t>
                            </w:r>
                            <w:proofErr w:type="gramStart"/>
                            <w:r>
                              <w:rPr>
                                <w:rFonts w:ascii="Californian FB" w:hAnsi="Californian FB"/>
                                <w:sz w:val="20"/>
                                <w:szCs w:val="20"/>
                              </w:rPr>
                              <w:t>run on</w:t>
                            </w:r>
                            <w:proofErr w:type="gramEnd"/>
                            <w:r>
                              <w:rPr>
                                <w:rFonts w:ascii="Californian FB" w:hAnsi="Californian FB"/>
                                <w:sz w:val="20"/>
                                <w:szCs w:val="20"/>
                              </w:rPr>
                              <w:t xml:space="preserve"> computers running Java</w:t>
                            </w:r>
                            <w:r w:rsidR="003A766B">
                              <w:rPr>
                                <w:rFonts w:ascii="Californian FB" w:hAnsi="Californian FB"/>
                                <w:sz w:val="20"/>
                                <w:szCs w:val="20"/>
                              </w:rPr>
                              <w:t xml:space="preserve">, and </w:t>
                            </w:r>
                            <w:r>
                              <w:rPr>
                                <w:rFonts w:ascii="Californian FB" w:hAnsi="Californian FB"/>
                                <w:sz w:val="20"/>
                                <w:szCs w:val="20"/>
                              </w:rPr>
                              <w:t xml:space="preserve">the applications </w:t>
                            </w:r>
                            <w:r w:rsidR="003A766B">
                              <w:rPr>
                                <w:rFonts w:ascii="Californian FB" w:hAnsi="Californian FB"/>
                                <w:sz w:val="20"/>
                                <w:szCs w:val="20"/>
                              </w:rPr>
                              <w:t xml:space="preserve">built with the Android API can only run on devices running Android. </w:t>
                            </w:r>
                            <w:r>
                              <w:rPr>
                                <w:rFonts w:ascii="Californian FB" w:hAnsi="Californian FB"/>
                                <w:sz w:val="20"/>
                                <w:szCs w:val="20"/>
                              </w:rPr>
                              <w:t xml:space="preserve"> </w:t>
                            </w:r>
                            <w:r w:rsidR="003A766B">
                              <w:rPr>
                                <w:rFonts w:ascii="Californian FB" w:hAnsi="Californian FB"/>
                                <w:sz w:val="20"/>
                                <w:szCs w:val="20"/>
                              </w:rPr>
                              <w:t>Can you see how that could and did make Oracle’s and Google’s business models different than the business model of a traditional appliance manufacturer?</w:t>
                            </w:r>
                            <w:r>
                              <w:rPr>
                                <w:rFonts w:ascii="Californian FB" w:hAnsi="Californian FB"/>
                                <w:sz w:val="20"/>
                                <w:szCs w:val="20"/>
                              </w:rPr>
                              <w:t xml:space="preserve">   </w:t>
                            </w:r>
                            <w:r w:rsidR="00C747A6">
                              <w:rPr>
                                <w:rFonts w:ascii="Californian FB" w:hAnsi="Californian FB"/>
                                <w:sz w:val="20"/>
                                <w:szCs w:val="20"/>
                              </w:rPr>
                              <w:t xml:space="preserve">The </w:t>
                            </w:r>
                            <w:r w:rsidR="00C747A6">
                              <w:rPr>
                                <w:rFonts w:ascii="Californian FB" w:hAnsi="Californian FB"/>
                                <w:i/>
                                <w:iCs/>
                                <w:sz w:val="20"/>
                                <w:szCs w:val="20"/>
                              </w:rPr>
                              <w:t xml:space="preserve">Google v. Oracle America </w:t>
                            </w:r>
                            <w:r w:rsidR="00C747A6">
                              <w:rPr>
                                <w:rFonts w:ascii="Californian FB" w:hAnsi="Californian FB"/>
                                <w:sz w:val="20"/>
                                <w:szCs w:val="20"/>
                              </w:rPr>
                              <w:t xml:space="preserve">Court added a diagram to explain software platforms in an Appendix to its opinion. You can see the Appendix and the diagram by </w:t>
                            </w:r>
                            <w:hyperlink r:id="rId38" w:history="1">
                              <w:r w:rsidR="00C747A6" w:rsidRPr="0077575E">
                                <w:rPr>
                                  <w:rStyle w:val="Hyperlink"/>
                                  <w:rFonts w:ascii="Californian FB" w:hAnsi="Californian FB"/>
                                  <w:sz w:val="20"/>
                                  <w:szCs w:val="20"/>
                                </w:rPr>
                                <w:t>clicking here</w:t>
                              </w:r>
                            </w:hyperlink>
                            <w:r w:rsidR="00C747A6">
                              <w:rPr>
                                <w:rFonts w:ascii="Californian FB" w:hAnsi="Californian FB"/>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F1D343" id="Text Box 20" o:spid="_x0000_s1032" type="#_x0000_t202" style="position:absolute;left:0;text-align:left;margin-left:0;margin-top:8.5pt;width:181.1pt;height:70.2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" fillcolor="#b8cce4" stroked="f">
                <v:textbox style="mso-fit-shape-to-text:t">
                  <w:txbxContent>
                    <w:p w14:paraId="2DDC0E49" w14:textId="1D5CB753" w:rsidR="00C747A6" w:rsidRPr="00033D51" w:rsidRDefault="003A766B" w:rsidP="0077575E">
                      <w:pPr>
                        <w:spacing w:after="120"/>
                        <w:jc w:val="center"/>
                        <w:rPr>
                          <w:rFonts w:ascii="Californian FB" w:hAnsi="Californian FB"/>
                          <w:b/>
                          <w:sz w:val="20"/>
                          <w:szCs w:val="20"/>
                        </w:rPr>
                      </w:pPr>
                      <w:r>
                        <w:rPr>
                          <w:rFonts w:ascii="Californian FB" w:hAnsi="Californian FB"/>
                          <w:b/>
                          <w:sz w:val="20"/>
                          <w:szCs w:val="20"/>
                        </w:rPr>
                        <w:t>FOOD FOR THOUGHT</w:t>
                      </w:r>
                    </w:p>
                    <w:p w14:paraId="6E1CDC9C" w14:textId="6C2E2FDE" w:rsidR="00C747A6" w:rsidRPr="00033D51" w:rsidRDefault="009B5094" w:rsidP="0077575E">
                      <w:pPr>
                        <w:spacing w:after="120"/>
                        <w:jc w:val="both"/>
                        <w:rPr>
                          <w:rFonts w:ascii="Californian FB" w:hAnsi="Californian FB"/>
                          <w:sz w:val="20"/>
                          <w:szCs w:val="20"/>
                        </w:rPr>
                      </w:pPr>
                      <w:r>
                        <w:rPr>
                          <w:rFonts w:ascii="Californian FB" w:hAnsi="Californian FB"/>
                          <w:sz w:val="20"/>
                          <w:szCs w:val="20"/>
                        </w:rPr>
                        <w:t>Is the analogy between a software platform and a factory floor helpful? Note that there is one way in which it may be misleading. A toaster or a clothes dryer might be built with sophisticated machinery, but once it leaves the factory, it needs only electricity to work; it doesn’t need a</w:t>
                      </w:r>
                      <w:r w:rsidR="003A766B">
                        <w:rPr>
                          <w:rFonts w:ascii="Californian FB" w:hAnsi="Californian FB"/>
                          <w:sz w:val="20"/>
                          <w:szCs w:val="20"/>
                        </w:rPr>
                        <w:t>ny</w:t>
                      </w:r>
                      <w:r>
                        <w:rPr>
                          <w:rFonts w:ascii="Californian FB" w:hAnsi="Californian FB"/>
                          <w:sz w:val="20"/>
                          <w:szCs w:val="20"/>
                        </w:rPr>
                        <w:t xml:space="preserve"> continuing connection or support. By contrast, the applications built with the help of Java SE can only </w:t>
                      </w:r>
                      <w:proofErr w:type="gramStart"/>
                      <w:r>
                        <w:rPr>
                          <w:rFonts w:ascii="Californian FB" w:hAnsi="Californian FB"/>
                          <w:sz w:val="20"/>
                          <w:szCs w:val="20"/>
                        </w:rPr>
                        <w:t>run on</w:t>
                      </w:r>
                      <w:proofErr w:type="gramEnd"/>
                      <w:r>
                        <w:rPr>
                          <w:rFonts w:ascii="Californian FB" w:hAnsi="Californian FB"/>
                          <w:sz w:val="20"/>
                          <w:szCs w:val="20"/>
                        </w:rPr>
                        <w:t xml:space="preserve"> computers running Java</w:t>
                      </w:r>
                      <w:r w:rsidR="003A766B">
                        <w:rPr>
                          <w:rFonts w:ascii="Californian FB" w:hAnsi="Californian FB"/>
                          <w:sz w:val="20"/>
                          <w:szCs w:val="20"/>
                        </w:rPr>
                        <w:t xml:space="preserve">, and </w:t>
                      </w:r>
                      <w:r>
                        <w:rPr>
                          <w:rFonts w:ascii="Californian FB" w:hAnsi="Californian FB"/>
                          <w:sz w:val="20"/>
                          <w:szCs w:val="20"/>
                        </w:rPr>
                        <w:t xml:space="preserve">the applications </w:t>
                      </w:r>
                      <w:r w:rsidR="003A766B">
                        <w:rPr>
                          <w:rFonts w:ascii="Californian FB" w:hAnsi="Californian FB"/>
                          <w:sz w:val="20"/>
                          <w:szCs w:val="20"/>
                        </w:rPr>
                        <w:t xml:space="preserve">built with the Android API can only run on devices running Android. </w:t>
                      </w:r>
                      <w:r>
                        <w:rPr>
                          <w:rFonts w:ascii="Californian FB" w:hAnsi="Californian FB"/>
                          <w:sz w:val="20"/>
                          <w:szCs w:val="20"/>
                        </w:rPr>
                        <w:t xml:space="preserve"> </w:t>
                      </w:r>
                      <w:r w:rsidR="003A766B">
                        <w:rPr>
                          <w:rFonts w:ascii="Californian FB" w:hAnsi="Californian FB"/>
                          <w:sz w:val="20"/>
                          <w:szCs w:val="20"/>
                        </w:rPr>
                        <w:t>Can you see how that could and did make Oracle’s and Google’s business models different than the business model of a traditional appliance manufacturer?</w:t>
                      </w:r>
                      <w:r>
                        <w:rPr>
                          <w:rFonts w:ascii="Californian FB" w:hAnsi="Californian FB"/>
                          <w:sz w:val="20"/>
                          <w:szCs w:val="20"/>
                        </w:rPr>
                        <w:t xml:space="preserve">   </w:t>
                      </w:r>
                      <w:r w:rsidR="00C747A6">
                        <w:rPr>
                          <w:rFonts w:ascii="Californian FB" w:hAnsi="Californian FB"/>
                          <w:sz w:val="20"/>
                          <w:szCs w:val="20"/>
                        </w:rPr>
                        <w:t xml:space="preserve">The </w:t>
                      </w:r>
                      <w:r w:rsidR="00C747A6">
                        <w:rPr>
                          <w:rFonts w:ascii="Californian FB" w:hAnsi="Californian FB"/>
                          <w:i/>
                          <w:iCs/>
                          <w:sz w:val="20"/>
                          <w:szCs w:val="20"/>
                        </w:rPr>
                        <w:t xml:space="preserve">Google v. Oracle America </w:t>
                      </w:r>
                      <w:r w:rsidR="00C747A6">
                        <w:rPr>
                          <w:rFonts w:ascii="Californian FB" w:hAnsi="Californian FB"/>
                          <w:sz w:val="20"/>
                          <w:szCs w:val="20"/>
                        </w:rPr>
                        <w:t xml:space="preserve">Court added a diagram to explain software platforms in an Appendix to its opinion. You can see the Appendix and the diagram by </w:t>
                      </w:r>
                      <w:hyperlink r:id="rId39" w:history="1">
                        <w:r w:rsidR="00C747A6" w:rsidRPr="0077575E">
                          <w:rPr>
                            <w:rStyle w:val="Hyperlink"/>
                            <w:rFonts w:ascii="Californian FB" w:hAnsi="Californian FB"/>
                            <w:sz w:val="20"/>
                            <w:szCs w:val="20"/>
                          </w:rPr>
                          <w:t>clicking here</w:t>
                        </w:r>
                      </w:hyperlink>
                      <w:r w:rsidR="00C747A6">
                        <w:rPr>
                          <w:rFonts w:ascii="Californian FB" w:hAnsi="Californian FB"/>
                          <w:sz w:val="20"/>
                          <w:szCs w:val="20"/>
                        </w:rPr>
                        <w:t xml:space="preserve">. </w:t>
                      </w:r>
                    </w:p>
                  </w:txbxContent>
                </v:textbox>
                <w10:wrap type="square"/>
              </v:shape>
            </w:pict>
          </mc:Fallback>
        </mc:AlternateContent>
      </w:r>
      <w:r w:rsidR="008D2F50" w:rsidRPr="004E7ED2">
        <w:rPr>
          <w:rFonts w:ascii="Californian FB" w:hAnsi="Californian FB" w:cs="Times New Roman"/>
          <w:color w:val="000000"/>
          <w:sz w:val="24"/>
          <w:szCs w:val="24"/>
        </w:rPr>
        <w:t> </w:t>
      </w:r>
    </w:p>
    <w:p w14:paraId="63A1087E" w14:textId="2AE2DC5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Google envisioned an Android platform that was free and open, such that software developers could use the tools found there free of charge. Its idea was that more and more developers using its Android platform would develop ever more Android-based applications, all of which would make Google’s Android-based smartphones more attractive to ultimate consumers. Consumers would then buy and use ever more of those phones. </w:t>
      </w:r>
      <w:hyperlink r:id="rId40" w:anchor="co_pp_sp_4637_978" w:history="1">
        <w:r w:rsidRPr="004E7ED2">
          <w:rPr>
            <w:rFonts w:ascii="Californian FB" w:hAnsi="Californian FB" w:cs="Times New Roman"/>
            <w:i/>
            <w:iCs/>
            <w:color w:val="000000"/>
            <w:sz w:val="24"/>
            <w:szCs w:val="24"/>
          </w:rPr>
          <w:t>Oracle America, Inc. v. Google Inc.</w:t>
        </w:r>
        <w:r w:rsidRPr="004E7ED2">
          <w:rPr>
            <w:rFonts w:ascii="Californian FB" w:hAnsi="Californian FB" w:cs="Times New Roman"/>
            <w:color w:val="000000"/>
            <w:sz w:val="24"/>
            <w:szCs w:val="24"/>
          </w:rPr>
          <w:t>, 872 F.Supp.2d 974, 978 (N.D. Cal. 2012)</w:t>
        </w:r>
      </w:hyperlink>
      <w:r w:rsidRPr="004E7ED2">
        <w:rPr>
          <w:rFonts w:ascii="Californian FB" w:hAnsi="Californian FB" w:cs="Times New Roman"/>
          <w:color w:val="000000"/>
          <w:sz w:val="24"/>
          <w:szCs w:val="24"/>
        </w:rPr>
        <w:t>. That vision required attracting a sizeable number of skilled programmers.</w:t>
      </w:r>
    </w:p>
    <w:p w14:paraId="33CFB29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20375D8" w14:textId="305F380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At that time, many software developers understood and wrote programs using the Java programming language, a language invented by Sun Microsystems (Oracle’s predecessor). </w:t>
      </w:r>
      <w:hyperlink r:id="rId41" w:anchor="co_pp_sp_4637_975" w:history="1">
        <w:r w:rsidRPr="004E7ED2">
          <w:rPr>
            <w:rFonts w:ascii="Californian FB" w:hAnsi="Californian FB" w:cs="Times New Roman"/>
            <w:color w:val="000000"/>
            <w:sz w:val="24"/>
            <w:szCs w:val="24"/>
          </w:rPr>
          <w:t>872 F.Supp.2d at 975, 977</w:t>
        </w:r>
      </w:hyperlink>
      <w:r w:rsidRPr="004E7ED2">
        <w:rPr>
          <w:rFonts w:ascii="Californian FB" w:hAnsi="Californian FB" w:cs="Times New Roman"/>
          <w:color w:val="000000"/>
          <w:sz w:val="24"/>
          <w:szCs w:val="24"/>
        </w:rPr>
        <w:t>. About six million programmers had spent considerable time learning, and then using, the Java language.  Many of those programmers used Sun’s own popular Java SE platform to develop new programs primarily for use in desktop and laptop computers. That platform allowed developers using the Java language to write programs that were able to run on any desktop or laptop computer, regardless of the underlying hardware (</w:t>
      </w:r>
      <w:r w:rsidRPr="004E7ED2">
        <w:rPr>
          <w:rFonts w:ascii="Californian FB" w:hAnsi="Californian FB" w:cs="Times New Roman"/>
          <w:i/>
          <w:iCs/>
          <w:color w:val="000000"/>
          <w:sz w:val="24"/>
          <w:szCs w:val="24"/>
        </w:rPr>
        <w:t>i.e.</w:t>
      </w:r>
      <w:r w:rsidRPr="004E7ED2">
        <w:rPr>
          <w:rFonts w:ascii="Californian FB" w:hAnsi="Californian FB" w:cs="Times New Roman"/>
          <w:color w:val="000000"/>
          <w:sz w:val="24"/>
          <w:szCs w:val="24"/>
        </w:rPr>
        <w:t xml:space="preserve">, the programs were in large part “interoperable”). </w:t>
      </w:r>
      <w:hyperlink r:id="rId42" w:anchor="co_pp_sp_4637_977" w:history="1">
        <w:r w:rsidRPr="004E7ED2">
          <w:rPr>
            <w:rFonts w:ascii="Californian FB" w:hAnsi="Californian FB" w:cs="Times New Roman"/>
            <w:color w:val="000000"/>
            <w:sz w:val="24"/>
            <w:szCs w:val="24"/>
          </w:rPr>
          <w:t>872 F.Supp.2d at 977</w:t>
        </w:r>
      </w:hyperlink>
      <w:r w:rsidRPr="004E7ED2">
        <w:rPr>
          <w:rFonts w:ascii="Californian FB" w:hAnsi="Californian FB" w:cs="Times New Roman"/>
          <w:color w:val="000000"/>
          <w:sz w:val="24"/>
          <w:szCs w:val="24"/>
        </w:rPr>
        <w:t xml:space="preserve">. Indeed, one of Sun’s slogans was </w:t>
      </w:r>
      <w:proofErr w:type="gramStart"/>
      <w:r w:rsidRPr="004E7ED2">
        <w:rPr>
          <w:rFonts w:ascii="Californian FB" w:hAnsi="Californian FB" w:cs="Times New Roman"/>
          <w:color w:val="000000"/>
          <w:sz w:val="24"/>
          <w:szCs w:val="24"/>
        </w:rPr>
        <w:t>“ ‘</w:t>
      </w:r>
      <w:proofErr w:type="gramEnd"/>
      <w:r w:rsidRPr="004E7ED2">
        <w:rPr>
          <w:rFonts w:ascii="Californian FB" w:hAnsi="Californian FB" w:cs="Times New Roman"/>
          <w:color w:val="000000"/>
          <w:sz w:val="24"/>
          <w:szCs w:val="24"/>
        </w:rPr>
        <w:t xml:space="preserve">write once, run anywhere.’ ” </w:t>
      </w:r>
      <w:hyperlink r:id="rId43" w:anchor="co_pp_sp_506_1186" w:history="1">
        <w:r w:rsidRPr="004E7ED2">
          <w:rPr>
            <w:rFonts w:ascii="Californian FB" w:hAnsi="Californian FB" w:cs="Times New Roman"/>
            <w:color w:val="000000"/>
            <w:sz w:val="24"/>
            <w:szCs w:val="24"/>
          </w:rPr>
          <w:t>886 F.3d at 1186</w:t>
        </w:r>
      </w:hyperlink>
      <w:r w:rsidRPr="004E7ED2">
        <w:rPr>
          <w:rFonts w:ascii="Californian FB" w:hAnsi="Californian FB" w:cs="Times New Roman"/>
          <w:color w:val="000000"/>
          <w:sz w:val="24"/>
          <w:szCs w:val="24"/>
        </w:rPr>
        <w:t>.</w:t>
      </w:r>
    </w:p>
    <w:p w14:paraId="19CCA64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B13BE38" w14:textId="669C6BA2" w:rsidR="008D2F50" w:rsidRPr="004E7ED2" w:rsidRDefault="00C747A6"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   * * * </w:t>
      </w:r>
    </w:p>
    <w:p w14:paraId="1F754EA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7257FEA3" w14:textId="4FF543B4"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record indicates that roughly 100 Google engineers worked for more than three years to create Google’s Android platform software.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45, 117, 212. In doing so, Google tailored the Android platform to smartphone technology, which differs from desktop and laptop computers in important ways. A smartphone, for instance, may run on a more limited battery or take advantage of GPS technology.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197–198. The Android platform offered programmers the ability to program for that environment. To build the platform, Google wrote millions of lines of new code. Because Google wanted millions of programmers, familiar with Java, to be able easily to work with its new Android platform, it also copied roughly 11,500 lines of code from the Java SE program. </w:t>
      </w:r>
      <w:hyperlink r:id="rId44" w:anchor="co_pp_sp_506_1187" w:history="1">
        <w:r w:rsidRPr="004E7ED2">
          <w:rPr>
            <w:rFonts w:ascii="Californian FB" w:hAnsi="Californian FB" w:cs="Times New Roman"/>
            <w:color w:val="000000"/>
            <w:sz w:val="24"/>
            <w:szCs w:val="24"/>
          </w:rPr>
          <w:t>886 F.3d at 1187</w:t>
        </w:r>
      </w:hyperlink>
      <w:r w:rsidRPr="004E7ED2">
        <w:rPr>
          <w:rFonts w:ascii="Californian FB" w:hAnsi="Californian FB" w:cs="Times New Roman"/>
          <w:color w:val="000000"/>
          <w:sz w:val="24"/>
          <w:szCs w:val="24"/>
        </w:rPr>
        <w:t>. The copied lines of code are part of a tool called an Application Programming Interface, or API.</w:t>
      </w:r>
    </w:p>
    <w:p w14:paraId="34D0B17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53524FB" w14:textId="0F331E18"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What is an API? The Federal Circuit described an API as a tool that “allow[s] programmers to use ... prewritten code to build certain functions into their own programs, rather than write their own code to perform those functions from scratch.” </w:t>
      </w:r>
      <w:hyperlink r:id="rId45" w:anchor="co_pp_sp_506_1349" w:history="1">
        <w:r w:rsidRPr="004E7ED2">
          <w:rPr>
            <w:rFonts w:ascii="Californian FB" w:hAnsi="Californian FB" w:cs="Times New Roman"/>
            <w:i/>
            <w:iCs/>
            <w:color w:val="000000"/>
            <w:sz w:val="24"/>
            <w:szCs w:val="24"/>
          </w:rPr>
          <w:t>Oracle America, Inc. v. Google, Inc.</w:t>
        </w:r>
        <w:r w:rsidRPr="004E7ED2">
          <w:rPr>
            <w:rFonts w:ascii="Californian FB" w:hAnsi="Californian FB" w:cs="Times New Roman"/>
            <w:color w:val="000000"/>
            <w:sz w:val="24"/>
            <w:szCs w:val="24"/>
          </w:rPr>
          <w:t>, 750 F.3d 1339, 1349 (2014)</w:t>
        </w:r>
      </w:hyperlink>
      <w:r w:rsidRPr="004E7ED2">
        <w:rPr>
          <w:rFonts w:ascii="Californian FB" w:hAnsi="Californian FB" w:cs="Times New Roman"/>
          <w:color w:val="000000"/>
          <w:sz w:val="24"/>
          <w:szCs w:val="24"/>
        </w:rPr>
        <w:t>. Through an API, a programmer can draw upon a vast library of prewritten code to carry out complex tasks. For lay persons, including judges, juries, and many others, some elaboration of this description may prove useful.</w:t>
      </w:r>
    </w:p>
    <w:p w14:paraId="22D8899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823994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lastRenderedPageBreak/>
        <w:t>Consider in more detail just what an API does. A computer can perform thousands, perhaps millions, of different tasks that a programmer may wish to use. These tasks range from the most basic to the enormously complex. Ask the computer, for example, to tell you which of two numbers is the higher number or to sort one thousand numbers in ascending order, and it will instantly give you the right answer. An API divides and organizes the world of computing tasks in a particular way. Programmers can then use the API to select the particular task that they need for their programs. In Sun’s API (which we refer to as the Sun Java API), each individual task is known as a “method.” The API groups somewhat similar methods into larger “classes,” and groups somewhat similar classes into larger “packages.” This method-class-package organizational structure is referred to as the Sun Java API’s “structure, sequence, and organization,” or SSO.</w:t>
      </w:r>
    </w:p>
    <w:p w14:paraId="38BD46AA" w14:textId="4DC083DB"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04CAEDD" w14:textId="3716400F" w:rsidR="008D2F50" w:rsidRPr="004E7ED2" w:rsidRDefault="0077575E"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3D7E14">
        <w:rPr>
          <w:rFonts w:ascii="Californian FB" w:hAnsi="Californian FB"/>
          <w:noProof/>
          <w:color w:val="000000"/>
          <w:sz w:val="24"/>
          <w:szCs w:val="24"/>
        </w:rPr>
        <mc:AlternateContent>
          <mc:Choice Requires="wps">
            <w:drawing>
              <wp:anchor distT="0" distB="0" distL="114300" distR="114300" simplePos="0" relativeHeight="251718656" behindDoc="0" locked="0" layoutInCell="1" allowOverlap="1" wp14:anchorId="328D744F" wp14:editId="5DFF73B0">
                <wp:simplePos x="0" y="0"/>
                <wp:positionH relativeFrom="column">
                  <wp:posOffset>4255135</wp:posOffset>
                </wp:positionH>
                <wp:positionV relativeFrom="paragraph">
                  <wp:posOffset>15875</wp:posOffset>
                </wp:positionV>
                <wp:extent cx="1707515" cy="891540"/>
                <wp:effectExtent l="0" t="0" r="6985" b="5715"/>
                <wp:wrapSquare wrapText="bothSides"/>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91540"/>
                        </a:xfrm>
                        <a:prstGeom prst="rect">
                          <a:avLst/>
                        </a:prstGeom>
                        <a:solidFill>
                          <a:srgbClr val="B8CCE4"/>
                        </a:solidFill>
                        <a:ln w="9525">
                          <a:noFill/>
                          <a:miter lim="800000"/>
                          <a:headEnd/>
                          <a:tailEnd/>
                        </a:ln>
                      </wps:spPr>
                      <wps:txbx>
                        <w:txbxContent>
                          <w:p w14:paraId="3948C4BD" w14:textId="77777777" w:rsidR="00C747A6" w:rsidRPr="00033D51" w:rsidRDefault="00C747A6" w:rsidP="0077575E">
                            <w:pPr>
                              <w:spacing w:after="120"/>
                              <w:jc w:val="center"/>
                              <w:rPr>
                                <w:rFonts w:ascii="Californian FB" w:hAnsi="Californian FB"/>
                                <w:b/>
                                <w:sz w:val="20"/>
                                <w:szCs w:val="20"/>
                              </w:rPr>
                            </w:pPr>
                            <w:r w:rsidRPr="00033D51">
                              <w:rPr>
                                <w:rFonts w:ascii="Californian FB" w:hAnsi="Californian FB"/>
                                <w:b/>
                                <w:sz w:val="20"/>
                                <w:szCs w:val="20"/>
                              </w:rPr>
                              <w:t>GO ONLINE</w:t>
                            </w:r>
                          </w:p>
                          <w:p w14:paraId="37B05902" w14:textId="7004DACE" w:rsidR="00C747A6" w:rsidRPr="00033D51" w:rsidRDefault="00C747A6" w:rsidP="00AC0FDE">
                            <w:pPr>
                              <w:autoSpaceDE w:val="0"/>
                              <w:autoSpaceDN w:val="0"/>
                              <w:adjustRightInd w:val="0"/>
                              <w:spacing w:after="0" w:line="240" w:lineRule="auto"/>
                              <w:rPr>
                                <w:rFonts w:ascii="Californian FB" w:hAnsi="Californian FB"/>
                                <w:sz w:val="20"/>
                                <w:szCs w:val="20"/>
                              </w:rPr>
                            </w:pPr>
                            <w:r>
                              <w:rPr>
                                <w:rFonts w:ascii="Californian FB" w:hAnsi="Californian FB"/>
                                <w:sz w:val="20"/>
                                <w:szCs w:val="20"/>
                              </w:rPr>
                              <w:t xml:space="preserve">In another appendix to its opinion, the </w:t>
                            </w:r>
                            <w:r>
                              <w:rPr>
                                <w:rFonts w:ascii="Californian FB" w:hAnsi="Californian FB"/>
                                <w:i/>
                                <w:iCs/>
                                <w:sz w:val="20"/>
                                <w:szCs w:val="20"/>
                              </w:rPr>
                              <w:t xml:space="preserve">Google v. Oracle America </w:t>
                            </w:r>
                            <w:r>
                              <w:rPr>
                                <w:rFonts w:ascii="Californian FB" w:hAnsi="Californian FB"/>
                                <w:sz w:val="20"/>
                                <w:szCs w:val="20"/>
                              </w:rPr>
                              <w:t xml:space="preserve">Court presented a diagram of the Sun Java API.  You can see that diagram by </w:t>
                            </w:r>
                            <w:hyperlink r:id="rId46" w:history="1">
                              <w:r w:rsidRPr="0077575E">
                                <w:rPr>
                                  <w:rStyle w:val="Hyperlink"/>
                                  <w:rFonts w:ascii="Californian FB" w:hAnsi="Californian FB"/>
                                  <w:sz w:val="20"/>
                                  <w:szCs w:val="20"/>
                                </w:rPr>
                                <w:t>clicking here</w:t>
                              </w:r>
                            </w:hyperlink>
                            <w:r>
                              <w:rPr>
                                <w:rFonts w:ascii="Californian FB" w:hAnsi="Californian FB"/>
                                <w:sz w:val="20"/>
                                <w:szCs w:val="20"/>
                              </w:rPr>
                              <w:t>. The entire API specification for Java Standard Edition 16 is available</w:t>
                            </w:r>
                            <w:hyperlink r:id="rId47" w:history="1">
                              <w:r w:rsidRPr="00AC0FDE">
                                <w:rPr>
                                  <w:rStyle w:val="Hyperlink"/>
                                  <w:rFonts w:ascii="Californian FB" w:hAnsi="Californian FB"/>
                                  <w:sz w:val="20"/>
                                  <w:szCs w:val="20"/>
                                </w:rPr>
                                <w:t xml:space="preserve"> here</w:t>
                              </w:r>
                            </w:hyperlink>
                            <w:r>
                              <w:rPr>
                                <w:rFonts w:ascii="Californian FB" w:hAnsi="Californian FB"/>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8D744F" id="_x0000_s1033" type="#_x0000_t202" style="position:absolute;left:0;text-align:left;margin-left:335.05pt;margin-top:1.25pt;width:134.45pt;height:70.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" fillcolor="#b8cce4" stroked="f">
                <v:textbox style="mso-fit-shape-to-text:t">
                  <w:txbxContent>
                    <w:p w14:paraId="3948C4BD" w14:textId="77777777" w:rsidR="00C747A6" w:rsidRPr="00033D51" w:rsidRDefault="00C747A6" w:rsidP="0077575E">
                      <w:pPr>
                        <w:spacing w:after="120"/>
                        <w:jc w:val="center"/>
                        <w:rPr>
                          <w:rFonts w:ascii="Californian FB" w:hAnsi="Californian FB"/>
                          <w:b/>
                          <w:sz w:val="20"/>
                          <w:szCs w:val="20"/>
                        </w:rPr>
                      </w:pPr>
                      <w:r w:rsidRPr="00033D51">
                        <w:rPr>
                          <w:rFonts w:ascii="Californian FB" w:hAnsi="Californian FB"/>
                          <w:b/>
                          <w:sz w:val="20"/>
                          <w:szCs w:val="20"/>
                        </w:rPr>
                        <w:t>GO ONLINE</w:t>
                      </w:r>
                    </w:p>
                    <w:p w14:paraId="37B05902" w14:textId="7004DACE" w:rsidR="00C747A6" w:rsidRPr="00033D51" w:rsidRDefault="00C747A6" w:rsidP="00AC0FDE">
                      <w:pPr>
                        <w:autoSpaceDE w:val="0"/>
                        <w:autoSpaceDN w:val="0"/>
                        <w:adjustRightInd w:val="0"/>
                        <w:spacing w:after="0" w:line="240" w:lineRule="auto"/>
                        <w:rPr>
                          <w:rFonts w:ascii="Californian FB" w:hAnsi="Californian FB"/>
                          <w:sz w:val="20"/>
                          <w:szCs w:val="20"/>
                        </w:rPr>
                      </w:pPr>
                      <w:r>
                        <w:rPr>
                          <w:rFonts w:ascii="Californian FB" w:hAnsi="Californian FB"/>
                          <w:sz w:val="20"/>
                          <w:szCs w:val="20"/>
                        </w:rPr>
                        <w:t xml:space="preserve">In another appendix to its opinion, the </w:t>
                      </w:r>
                      <w:r>
                        <w:rPr>
                          <w:rFonts w:ascii="Californian FB" w:hAnsi="Californian FB"/>
                          <w:i/>
                          <w:iCs/>
                          <w:sz w:val="20"/>
                          <w:szCs w:val="20"/>
                        </w:rPr>
                        <w:t xml:space="preserve">Google v. Oracle America </w:t>
                      </w:r>
                      <w:r>
                        <w:rPr>
                          <w:rFonts w:ascii="Californian FB" w:hAnsi="Californian FB"/>
                          <w:sz w:val="20"/>
                          <w:szCs w:val="20"/>
                        </w:rPr>
                        <w:t xml:space="preserve">Court presented a diagram of the Sun Java API.  You can see that diagram by </w:t>
                      </w:r>
                      <w:hyperlink r:id="rId48" w:history="1">
                        <w:r w:rsidRPr="0077575E">
                          <w:rPr>
                            <w:rStyle w:val="Hyperlink"/>
                            <w:rFonts w:ascii="Californian FB" w:hAnsi="Californian FB"/>
                            <w:sz w:val="20"/>
                            <w:szCs w:val="20"/>
                          </w:rPr>
                          <w:t>clicking here</w:t>
                        </w:r>
                      </w:hyperlink>
                      <w:r>
                        <w:rPr>
                          <w:rFonts w:ascii="Californian FB" w:hAnsi="Californian FB"/>
                          <w:sz w:val="20"/>
                          <w:szCs w:val="20"/>
                        </w:rPr>
                        <w:t>. The entire API specification for Java Standard Edition 16 is available</w:t>
                      </w:r>
                      <w:hyperlink r:id="rId49" w:history="1">
                        <w:r w:rsidRPr="00AC0FDE">
                          <w:rPr>
                            <w:rStyle w:val="Hyperlink"/>
                            <w:rFonts w:ascii="Californian FB" w:hAnsi="Californian FB"/>
                            <w:sz w:val="20"/>
                            <w:szCs w:val="20"/>
                          </w:rPr>
                          <w:t xml:space="preserve"> here</w:t>
                        </w:r>
                      </w:hyperlink>
                      <w:r>
                        <w:rPr>
                          <w:rFonts w:ascii="Californian FB" w:hAnsi="Californian FB"/>
                          <w:sz w:val="20"/>
                          <w:szCs w:val="20"/>
                        </w:rPr>
                        <w:t xml:space="preserve">. </w:t>
                      </w:r>
                    </w:p>
                  </w:txbxContent>
                </v:textbox>
                <w10:wrap type="square"/>
              </v:shape>
            </w:pict>
          </mc:Fallback>
        </mc:AlternateContent>
      </w:r>
      <w:r w:rsidR="008D2F50" w:rsidRPr="004E7ED2">
        <w:rPr>
          <w:rFonts w:ascii="Californian FB" w:hAnsi="Californian FB" w:cs="Times New Roman"/>
          <w:color w:val="000000"/>
          <w:sz w:val="24"/>
          <w:szCs w:val="24"/>
        </w:rPr>
        <w:t xml:space="preserve">For each task, there is computer code, known as “implementing code,” that in effect tells the computer how to execute the particular task you have asked it to perform (such as telling you, of two numbers, which is the higher). See </w:t>
      </w:r>
      <w:hyperlink r:id="rId50" w:anchor="co_pp_sp_4637_979" w:history="1">
        <w:r w:rsidR="008D2F50" w:rsidRPr="004E7ED2">
          <w:rPr>
            <w:rFonts w:ascii="Californian FB" w:hAnsi="Californian FB" w:cs="Times New Roman"/>
            <w:i/>
            <w:iCs/>
            <w:color w:val="000000"/>
            <w:sz w:val="24"/>
            <w:szCs w:val="24"/>
          </w:rPr>
          <w:t>Oracle</w:t>
        </w:r>
        <w:r w:rsidR="008D2F50" w:rsidRPr="004E7ED2">
          <w:rPr>
            <w:rFonts w:ascii="Californian FB" w:hAnsi="Californian FB" w:cs="Times New Roman"/>
            <w:color w:val="000000"/>
            <w:sz w:val="24"/>
            <w:szCs w:val="24"/>
          </w:rPr>
          <w:t>, 872 F.Supp.2d at 979–980</w:t>
        </w:r>
      </w:hyperlink>
      <w:r w:rsidR="008D2F50" w:rsidRPr="004E7ED2">
        <w:rPr>
          <w:rFonts w:ascii="Californian FB" w:hAnsi="Californian FB" w:cs="Times New Roman"/>
          <w:color w:val="000000"/>
          <w:sz w:val="24"/>
          <w:szCs w:val="24"/>
        </w:rPr>
        <w:t>. The implementing code (which Google independently wrote) is not at issue here. For a single task, the implementing code may be hundreds of lines long. It would be difficult, perhaps impossible, for a programmer to create complex software programs without drawing on prewritten task-implementing programs to execute discrete tasks.</w:t>
      </w:r>
    </w:p>
    <w:p w14:paraId="28DD3C9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A6A1A5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But how do you as the programmer tell the computer which of the implementing </w:t>
      </w:r>
      <w:bookmarkStart w:id="5" w:name="co_pp_sp_708_1192_1"/>
      <w:bookmarkEnd w:id="5"/>
      <w:r w:rsidRPr="004E7ED2">
        <w:rPr>
          <w:rFonts w:ascii="Californian FB" w:hAnsi="Californian FB" w:cs="Times New Roman"/>
          <w:color w:val="000000"/>
          <w:sz w:val="24"/>
          <w:szCs w:val="24"/>
        </w:rPr>
        <w:t xml:space="preserve">code programs it should choose, </w:t>
      </w:r>
      <w:r w:rsidRPr="004E7ED2">
        <w:rPr>
          <w:rFonts w:ascii="Californian FB" w:hAnsi="Californian FB" w:cs="Times New Roman"/>
          <w:i/>
          <w:iCs/>
          <w:color w:val="000000"/>
          <w:sz w:val="24"/>
          <w:szCs w:val="24"/>
        </w:rPr>
        <w:t>i.e.</w:t>
      </w:r>
      <w:r w:rsidRPr="004E7ED2">
        <w:rPr>
          <w:rFonts w:ascii="Californian FB" w:hAnsi="Californian FB" w:cs="Times New Roman"/>
          <w:color w:val="000000"/>
          <w:sz w:val="24"/>
          <w:szCs w:val="24"/>
        </w:rPr>
        <w:t xml:space="preserve">, which task it should carry out? You do so by entering into your own program a command that corresponds to the specific task and calls it up. Those commands, known as “method calls,” help you carry out the task by choosing those programs written in implementing code that will do the trick, </w:t>
      </w:r>
      <w:r w:rsidRPr="004E7ED2">
        <w:rPr>
          <w:rFonts w:ascii="Californian FB" w:hAnsi="Californian FB" w:cs="Times New Roman"/>
          <w:i/>
          <w:iCs/>
          <w:color w:val="000000"/>
          <w:sz w:val="24"/>
          <w:szCs w:val="24"/>
        </w:rPr>
        <w:t>i.e.</w:t>
      </w:r>
      <w:r w:rsidRPr="004E7ED2">
        <w:rPr>
          <w:rFonts w:ascii="Californian FB" w:hAnsi="Californian FB" w:cs="Times New Roman"/>
          <w:color w:val="000000"/>
          <w:sz w:val="24"/>
          <w:szCs w:val="24"/>
        </w:rPr>
        <w:t>, that will instruct the computer so that your program will find the higher of two numbers. If a particular computer might perform, say, a million different tasks, different method calls will tell the computer which of those tasks to choose. Those familiar with the Java language already know countless method calls that allow them to invoke countless tasks.</w:t>
      </w:r>
    </w:p>
    <w:p w14:paraId="638138E5"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F70995B" w14:textId="6BA441E9"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And how does the method call (which a programmer types) actually locate and invoke the particular implementing code that it needs to instruct the computer how to carry out a particular task? It does so through another type of code, which the parties have labeled “declaring code.” Declaring code is part of the API. For each task, the specific command entered by the programmer matches up with specific declaring code inside the API. That declaring code provides both the name for each task and the location of each task within the API’s overall organizational system (</w:t>
      </w:r>
      <w:r w:rsidRPr="004E7ED2">
        <w:rPr>
          <w:rFonts w:ascii="Californian FB" w:hAnsi="Californian FB" w:cs="Times New Roman"/>
          <w:i/>
          <w:iCs/>
          <w:color w:val="000000"/>
          <w:sz w:val="24"/>
          <w:szCs w:val="24"/>
        </w:rPr>
        <w:t xml:space="preserve">i.e., </w:t>
      </w:r>
      <w:r w:rsidRPr="004E7ED2">
        <w:rPr>
          <w:rFonts w:ascii="Californian FB" w:hAnsi="Californian FB" w:cs="Times New Roman"/>
          <w:color w:val="000000"/>
          <w:sz w:val="24"/>
          <w:szCs w:val="24"/>
        </w:rPr>
        <w:t xml:space="preserve">the placement of a method within a particular class and the placement of a class within a particular package). In this sense, the declaring code and the method call form a link, allowing the programmer to draw upon the thousands of prewritten tasks, written in implementing code. See </w:t>
      </w:r>
      <w:hyperlink r:id="rId51" w:anchor="co_pp_sp_4637_979"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979–980</w:t>
        </w:r>
      </w:hyperlink>
      <w:r w:rsidRPr="004E7ED2">
        <w:rPr>
          <w:rFonts w:ascii="Californian FB" w:hAnsi="Californian FB" w:cs="Times New Roman"/>
          <w:color w:val="000000"/>
          <w:sz w:val="24"/>
          <w:szCs w:val="24"/>
        </w:rPr>
        <w:t>. Without that declaring code, the method calls entered by the programmer would not call up the implementing code.</w:t>
      </w:r>
    </w:p>
    <w:p w14:paraId="4DB8350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ED79993"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declaring code therefore performs at least two important functions in the Sun Java API. The first, more obvious, function is that the declaring code enables a set of shortcuts for programmers. By connecting complex implementing code with method calls, it allows a programmer to pick out from the API’s task library a particular task without having to learn anything more than a simple </w:t>
      </w:r>
      <w:r w:rsidRPr="004E7ED2">
        <w:rPr>
          <w:rFonts w:ascii="Californian FB" w:hAnsi="Californian FB" w:cs="Times New Roman"/>
          <w:color w:val="000000"/>
          <w:sz w:val="24"/>
          <w:szCs w:val="24"/>
        </w:rPr>
        <w:lastRenderedPageBreak/>
        <w:t xml:space="preserve">command. For example, a programmer building a new application for personal banking may wish to use various tasks to, say, calculate a user’s balance or authenticate a password. To do so, she need only learn the method calls associated with those tasks. In this way, the declaring code’s shortcut function is similar to a gas pedal in a car that tells the car to move faster or the QWERTY keyboard on a typewriter that calls up a certain letter when you press a particular key. As those analogies demonstrate, one can think of the declaring code as part of an </w:t>
      </w:r>
      <w:r w:rsidRPr="004E7ED2">
        <w:rPr>
          <w:rFonts w:ascii="Californian FB" w:hAnsi="Californian FB" w:cs="Times New Roman"/>
          <w:i/>
          <w:iCs/>
          <w:color w:val="000000"/>
          <w:sz w:val="24"/>
          <w:szCs w:val="24"/>
        </w:rPr>
        <w:t>interface</w:t>
      </w:r>
      <w:r w:rsidRPr="004E7ED2">
        <w:rPr>
          <w:rFonts w:ascii="Californian FB" w:hAnsi="Californian FB" w:cs="Times New Roman"/>
          <w:color w:val="000000"/>
          <w:sz w:val="24"/>
          <w:szCs w:val="24"/>
        </w:rPr>
        <w:t xml:space="preserve"> between human beings and a machine.</w:t>
      </w:r>
    </w:p>
    <w:p w14:paraId="202B672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C223431" w14:textId="6EEDB9CB"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second, less obvious, function is to reflect the way in which Java’s creators have divided the potential world of different tasks into an actual world, </w:t>
      </w:r>
      <w:r w:rsidRPr="004E7ED2">
        <w:rPr>
          <w:rFonts w:ascii="Californian FB" w:hAnsi="Californian FB" w:cs="Times New Roman"/>
          <w:i/>
          <w:iCs/>
          <w:color w:val="000000"/>
          <w:sz w:val="24"/>
          <w:szCs w:val="24"/>
        </w:rPr>
        <w:t>i.e.</w:t>
      </w:r>
      <w:r w:rsidRPr="004E7ED2">
        <w:rPr>
          <w:rFonts w:ascii="Californian FB" w:hAnsi="Californian FB" w:cs="Times New Roman"/>
          <w:color w:val="000000"/>
          <w:sz w:val="24"/>
          <w:szCs w:val="24"/>
        </w:rPr>
        <w:t>, precisely which set of potentially millions of different tasks we want to have our Java-based computer systems perform and how we want those tasks arranged and grouped. In this sense, the declaring code performs an organizational function. It determines the structure of the task library that Java’s creators have decided to build</w:t>
      </w:r>
      <w:proofErr w:type="gramStart"/>
      <w:r w:rsidRPr="004E7ED2">
        <w:rPr>
          <w:rFonts w:ascii="Californian FB" w:hAnsi="Californian FB" w:cs="Times New Roman"/>
          <w:color w:val="000000"/>
          <w:sz w:val="24"/>
          <w:szCs w:val="24"/>
        </w:rPr>
        <w:t xml:space="preserve">. </w:t>
      </w:r>
      <w:r w:rsidR="001C2DD7">
        <w:rPr>
          <w:rFonts w:ascii="Californian FB" w:hAnsi="Californian FB" w:cs="Times New Roman"/>
          <w:color w:val="000000"/>
          <w:sz w:val="24"/>
          <w:szCs w:val="24"/>
        </w:rPr>
        <w:t>. . .</w:t>
      </w:r>
      <w:proofErr w:type="gramEnd"/>
      <w:r w:rsidR="001C2DD7">
        <w:rPr>
          <w:rFonts w:ascii="Californian FB" w:hAnsi="Californian FB" w:cs="Times New Roman"/>
          <w:color w:val="000000"/>
          <w:sz w:val="24"/>
          <w:szCs w:val="24"/>
        </w:rPr>
        <w:t xml:space="preserve"> </w:t>
      </w:r>
      <w:r w:rsidRPr="004E7ED2">
        <w:rPr>
          <w:rFonts w:ascii="Californian FB" w:hAnsi="Californian FB" w:cs="Times New Roman"/>
          <w:color w:val="000000"/>
          <w:sz w:val="24"/>
          <w:szCs w:val="24"/>
        </w:rPr>
        <w:t>The developers of Java, for example, decided to place a method called “draw image” inside of a class called “graphics.”</w:t>
      </w:r>
    </w:p>
    <w:p w14:paraId="07390589" w14:textId="50793C1C" w:rsidR="008D2F50" w:rsidRPr="004E7ED2" w:rsidRDefault="008D2F50" w:rsidP="001C2DD7">
      <w:pPr>
        <w:widowControl w:val="0"/>
        <w:autoSpaceDE w:val="0"/>
        <w:autoSpaceDN w:val="0"/>
        <w:adjustRightInd w:val="0"/>
        <w:spacing w:after="0" w:line="240" w:lineRule="auto"/>
        <w:jc w:val="center"/>
        <w:rPr>
          <w:rFonts w:ascii="Californian FB" w:hAnsi="Californian FB" w:cs="Times New Roman"/>
          <w:color w:val="000000"/>
          <w:sz w:val="24"/>
          <w:szCs w:val="24"/>
        </w:rPr>
      </w:pPr>
    </w:p>
    <w:p w14:paraId="62D9B025" w14:textId="5603D098" w:rsidR="008D2F50" w:rsidRPr="004E7ED2" w:rsidRDefault="001C2DD7" w:rsidP="001C2DD7">
      <w:pPr>
        <w:widowControl w:val="0"/>
        <w:autoSpaceDE w:val="0"/>
        <w:autoSpaceDN w:val="0"/>
        <w:adjustRightInd w:val="0"/>
        <w:spacing w:after="120" w:line="240" w:lineRule="auto"/>
        <w:jc w:val="center"/>
        <w:rPr>
          <w:rFonts w:ascii="Californian FB" w:hAnsi="Californian FB" w:cs="Times New Roman"/>
          <w:color w:val="000000"/>
          <w:sz w:val="24"/>
          <w:szCs w:val="24"/>
        </w:rPr>
      </w:pPr>
      <w:bookmarkStart w:id="6" w:name="co_pp_sp_708_1193_1"/>
      <w:bookmarkEnd w:id="6"/>
      <w:r>
        <w:rPr>
          <w:rFonts w:ascii="Californian FB" w:hAnsi="Californian FB" w:cs="Times New Roman"/>
          <w:color w:val="000000"/>
          <w:sz w:val="24"/>
          <w:szCs w:val="24"/>
        </w:rPr>
        <w:t>* * *</w:t>
      </w:r>
    </w:p>
    <w:p w14:paraId="54476C35" w14:textId="178165E8"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Now let us consider the example that the District Court used to explain the precise technology here. </w:t>
      </w:r>
      <w:hyperlink r:id="rId52" w:anchor="co_pp_sp_4637_980"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980–981</w:t>
        </w:r>
      </w:hyperlink>
      <w:r w:rsidRPr="004E7ED2">
        <w:rPr>
          <w:rFonts w:ascii="Californian FB" w:hAnsi="Californian FB" w:cs="Times New Roman"/>
          <w:color w:val="000000"/>
          <w:sz w:val="24"/>
          <w:szCs w:val="24"/>
        </w:rPr>
        <w:t xml:space="preserve">. A programmer wishes, as part of her program, to determine which of two integers is the larger. To do so in the Java language, she will first write </w:t>
      </w:r>
      <w:proofErr w:type="spellStart"/>
      <w:r w:rsidRPr="004E7ED2">
        <w:rPr>
          <w:rFonts w:ascii="Californian FB" w:hAnsi="Californian FB" w:cs="Times New Roman"/>
          <w:b/>
          <w:bCs/>
          <w:color w:val="000000"/>
          <w:sz w:val="24"/>
          <w:szCs w:val="24"/>
        </w:rPr>
        <w:t>java.lang</w:t>
      </w:r>
      <w:proofErr w:type="spellEnd"/>
      <w:r w:rsidRPr="004E7ED2">
        <w:rPr>
          <w:rFonts w:ascii="Californian FB" w:hAnsi="Californian FB" w:cs="Times New Roman"/>
          <w:color w:val="000000"/>
          <w:sz w:val="24"/>
          <w:szCs w:val="24"/>
        </w:rPr>
        <w:t xml:space="preserve">. Those words (which we have put in bold type) refer to the “package” (or by analogy to the file cabinet). She will then write </w:t>
      </w:r>
      <w:r w:rsidRPr="004E7ED2">
        <w:rPr>
          <w:rFonts w:ascii="Californian FB" w:hAnsi="Californian FB" w:cs="Times New Roman"/>
          <w:b/>
          <w:bCs/>
          <w:color w:val="000000"/>
          <w:sz w:val="24"/>
          <w:szCs w:val="24"/>
        </w:rPr>
        <w:t>Math</w:t>
      </w:r>
      <w:r w:rsidRPr="004E7ED2">
        <w:rPr>
          <w:rFonts w:ascii="Californian FB" w:hAnsi="Californian FB" w:cs="Times New Roman"/>
          <w:color w:val="000000"/>
          <w:sz w:val="24"/>
          <w:szCs w:val="24"/>
        </w:rPr>
        <w:t xml:space="preserve">. That word refers to the “class” (or by analogy to the drawer). She will then write </w:t>
      </w:r>
      <w:r w:rsidRPr="004E7ED2">
        <w:rPr>
          <w:rFonts w:ascii="Californian FB" w:hAnsi="Californian FB" w:cs="Times New Roman"/>
          <w:b/>
          <w:bCs/>
          <w:color w:val="000000"/>
          <w:sz w:val="24"/>
          <w:szCs w:val="24"/>
        </w:rPr>
        <w:t>max</w:t>
      </w:r>
      <w:r w:rsidRPr="004E7ED2">
        <w:rPr>
          <w:rFonts w:ascii="Californian FB" w:hAnsi="Californian FB" w:cs="Times New Roman"/>
          <w:color w:val="000000"/>
          <w:sz w:val="24"/>
          <w:szCs w:val="24"/>
        </w:rPr>
        <w:t xml:space="preserve">. That word refers to the “method” (or by analogy to the recipe). She will then make two parentheses </w:t>
      </w:r>
      <w:proofErr w:type="gramStart"/>
      <w:r w:rsidRPr="004E7ED2">
        <w:rPr>
          <w:rFonts w:ascii="Californian FB" w:hAnsi="Californian FB" w:cs="Times New Roman"/>
          <w:color w:val="000000"/>
          <w:sz w:val="24"/>
          <w:szCs w:val="24"/>
        </w:rPr>
        <w:t>( )</w:t>
      </w:r>
      <w:proofErr w:type="gramEnd"/>
      <w:r w:rsidRPr="004E7ED2">
        <w:rPr>
          <w:rFonts w:ascii="Californian FB" w:hAnsi="Californian FB" w:cs="Times New Roman"/>
          <w:color w:val="000000"/>
          <w:sz w:val="24"/>
          <w:szCs w:val="24"/>
        </w:rPr>
        <w:t>. And, in between the parentheses she will put two integers, say 4 and 6, that she wishes to compare. The whole expression—the method call—will look like this: “</w:t>
      </w:r>
      <w:proofErr w:type="spellStart"/>
      <w:proofErr w:type="gramStart"/>
      <w:r w:rsidRPr="004E7ED2">
        <w:rPr>
          <w:rFonts w:ascii="Californian FB" w:hAnsi="Californian FB" w:cs="Times New Roman"/>
          <w:b/>
          <w:bCs/>
          <w:color w:val="000000"/>
          <w:sz w:val="24"/>
          <w:szCs w:val="24"/>
        </w:rPr>
        <w:t>java.lang.Math.max</w:t>
      </w:r>
      <w:proofErr w:type="spellEnd"/>
      <w:r w:rsidRPr="004E7ED2">
        <w:rPr>
          <w:rFonts w:ascii="Californian FB" w:hAnsi="Californian FB" w:cs="Times New Roman"/>
          <w:b/>
          <w:bCs/>
          <w:color w:val="000000"/>
          <w:sz w:val="24"/>
          <w:szCs w:val="24"/>
        </w:rPr>
        <w:t>(</w:t>
      </w:r>
      <w:proofErr w:type="gramEnd"/>
      <w:r w:rsidRPr="004E7ED2">
        <w:rPr>
          <w:rFonts w:ascii="Californian FB" w:hAnsi="Californian FB" w:cs="Times New Roman"/>
          <w:b/>
          <w:bCs/>
          <w:color w:val="000000"/>
          <w:sz w:val="24"/>
          <w:szCs w:val="24"/>
        </w:rPr>
        <w:t>4, 6)</w:t>
      </w:r>
      <w:r w:rsidRPr="004E7ED2">
        <w:rPr>
          <w:rFonts w:ascii="Californian FB" w:hAnsi="Californian FB" w:cs="Times New Roman"/>
          <w:color w:val="000000"/>
          <w:sz w:val="24"/>
          <w:szCs w:val="24"/>
        </w:rPr>
        <w:t>.” The use of this expression will, by means of the API, call up a task-implementing program that will determine the higher number.</w:t>
      </w:r>
    </w:p>
    <w:p w14:paraId="530F154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04AF3CF4" w14:textId="7B90531E"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In writing this program, the programmer will use the very symbols we have placed in bold in the precise order we have placed them. But the symbols by themselves do nothing. She must also use software that connects the symbols to the equivalent of file cabinets, drawers, and files. The API is that software. It includes both the declaring code that links each part of the method call to the particular task-implementing program, and the implementing code that actually carries it out. </w:t>
      </w:r>
    </w:p>
    <w:p w14:paraId="51C2040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B225565"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Now we can return to the copying at issue in this case. Google did not copy the task-implementing programs, or implementing code, from the Sun Java API. It wrote its own task-implementing programs, such as those that would determine which of two integers is the greater or carry out any other desired (normally far more complex) task. This implementing code constitutes the vast majority of both the Sun Java API and the API that Google created for Android. App. 212. For most of the packages in its new API, Google also wrote its own declaring code. For 37 packages, however, Google copied the declaring code from the Sun Java API.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at 106–107. As just explained, that means that, for those 37 packages, Google necessarily copied both the names given to particular tasks and the grouping of those tasks into classes and packages.</w:t>
      </w:r>
    </w:p>
    <w:p w14:paraId="0F32C20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94A8B8B" w14:textId="5A2F3C3D"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In doing so, Google copied that portion of the Sun Java API that allowed programmers expert in the Java programming language to use the “task calling” system that they had already learned. As </w:t>
      </w:r>
      <w:r w:rsidRPr="004E7ED2">
        <w:rPr>
          <w:rFonts w:ascii="Californian FB" w:hAnsi="Californian FB" w:cs="Times New Roman"/>
          <w:color w:val="000000"/>
          <w:sz w:val="24"/>
          <w:szCs w:val="24"/>
        </w:rPr>
        <w:lastRenderedPageBreak/>
        <w:t xml:space="preserve">Google saw it, the 37 packages at issue included those tasks that were likely to prove most useful to programmers working on applications for mobile devices. In fact, “three of these packages were ... </w:t>
      </w:r>
      <w:bookmarkStart w:id="7" w:name="co_pp_sp_708_1194_1"/>
      <w:bookmarkEnd w:id="7"/>
      <w:r w:rsidRPr="004E7ED2">
        <w:rPr>
          <w:rFonts w:ascii="Californian FB" w:hAnsi="Californian FB" w:cs="Times New Roman"/>
          <w:color w:val="000000"/>
          <w:sz w:val="24"/>
          <w:szCs w:val="24"/>
        </w:rPr>
        <w:t xml:space="preserve">fundamental to being able to use the Java language at all.” </w:t>
      </w:r>
      <w:hyperlink r:id="rId53" w:anchor="co_pp_sp_4637_982" w:history="1">
        <w:r w:rsidRPr="004E7ED2">
          <w:rPr>
            <w:rFonts w:ascii="Californian FB" w:hAnsi="Californian FB" w:cs="Times New Roman"/>
            <w:i/>
            <w:iCs/>
            <w:color w:val="000000"/>
            <w:sz w:val="24"/>
            <w:szCs w:val="24"/>
          </w:rPr>
          <w:t>Oracle</w:t>
        </w:r>
        <w:r w:rsidRPr="004E7ED2">
          <w:rPr>
            <w:rFonts w:ascii="Californian FB" w:hAnsi="Californian FB" w:cs="Times New Roman"/>
            <w:color w:val="000000"/>
            <w:sz w:val="24"/>
            <w:szCs w:val="24"/>
          </w:rPr>
          <w:t>, 872 F.Supp.2d at 982</w:t>
        </w:r>
      </w:hyperlink>
      <w:r w:rsidRPr="004E7ED2">
        <w:rPr>
          <w:rFonts w:ascii="Californian FB" w:hAnsi="Californian FB" w:cs="Times New Roman"/>
          <w:color w:val="000000"/>
          <w:sz w:val="24"/>
          <w:szCs w:val="24"/>
        </w:rPr>
        <w:t>. By using the same declaring code for those packages, programmers using the Android platform can rely on the method calls that they are already familiar with to call up particular tasks (</w:t>
      </w:r>
      <w:r w:rsidRPr="004E7ED2">
        <w:rPr>
          <w:rFonts w:ascii="Californian FB" w:hAnsi="Californian FB" w:cs="Times New Roman"/>
          <w:i/>
          <w:iCs/>
          <w:color w:val="000000"/>
          <w:sz w:val="24"/>
          <w:szCs w:val="24"/>
        </w:rPr>
        <w:t>e.g.</w:t>
      </w:r>
      <w:r w:rsidRPr="004E7ED2">
        <w:rPr>
          <w:rFonts w:ascii="Californian FB" w:hAnsi="Californian FB" w:cs="Times New Roman"/>
          <w:color w:val="000000"/>
          <w:sz w:val="24"/>
          <w:szCs w:val="24"/>
        </w:rPr>
        <w:t>, determining which of two integers is the greater); but Google’s own implementing programs carry out those tasks. Without that copying, programmers would need to learn an entirely new system to call up the same tasks.</w:t>
      </w:r>
    </w:p>
    <w:p w14:paraId="2BD816C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BEED4D8" w14:textId="283452C5"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We add that the Android platform has been successful. Within five years of its release in 2007, Android-based devices claimed a large share of the United States market. </w:t>
      </w:r>
      <w:hyperlink r:id="rId54" w:anchor="co_pp_sp_4637_978"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978</w:t>
        </w:r>
      </w:hyperlink>
      <w:r w:rsidRPr="004E7ED2">
        <w:rPr>
          <w:rFonts w:ascii="Californian FB" w:hAnsi="Californian FB" w:cs="Times New Roman"/>
          <w:color w:val="000000"/>
          <w:sz w:val="24"/>
          <w:szCs w:val="24"/>
        </w:rPr>
        <w:t xml:space="preserve">. As of 2015, Android sales produced more than $42 billion in revenue. </w:t>
      </w:r>
      <w:hyperlink r:id="rId55" w:anchor="co_pp_sp_506_1187" w:history="1">
        <w:r w:rsidRPr="004E7ED2">
          <w:rPr>
            <w:rFonts w:ascii="Californian FB" w:hAnsi="Californian FB" w:cs="Times New Roman"/>
            <w:color w:val="000000"/>
            <w:sz w:val="24"/>
            <w:szCs w:val="24"/>
          </w:rPr>
          <w:t>886 F.3d at 1187</w:t>
        </w:r>
      </w:hyperlink>
      <w:r w:rsidRPr="004E7ED2">
        <w:rPr>
          <w:rFonts w:ascii="Californian FB" w:hAnsi="Californian FB" w:cs="Times New Roman"/>
          <w:color w:val="000000"/>
          <w:sz w:val="24"/>
          <w:szCs w:val="24"/>
        </w:rPr>
        <w:t>.</w:t>
      </w:r>
    </w:p>
    <w:p w14:paraId="3468224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9F9014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In 2010 Oracle Corporation bought Sun. Soon thereafter Oracle brought this lawsuit in the United States District Court for the Northern District of California.</w:t>
      </w:r>
    </w:p>
    <w:p w14:paraId="00B1B1D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770D6727" w14:textId="77777777" w:rsidR="008D2F50" w:rsidRPr="004E7ED2" w:rsidRDefault="008D2F50" w:rsidP="008D2F50">
      <w:pPr>
        <w:widowControl w:val="0"/>
        <w:autoSpaceDE w:val="0"/>
        <w:autoSpaceDN w:val="0"/>
        <w:adjustRightInd w:val="0"/>
        <w:spacing w:before="400" w:after="200" w:line="240" w:lineRule="auto"/>
        <w:jc w:val="center"/>
        <w:rPr>
          <w:rFonts w:ascii="Californian FB" w:hAnsi="Californian FB" w:cs="Times New Roman"/>
          <w:color w:val="000000"/>
          <w:sz w:val="24"/>
          <w:szCs w:val="24"/>
        </w:rPr>
      </w:pPr>
      <w:bookmarkStart w:id="8" w:name="co_anchor_I1b9c96e1cdd411eba03e924a66164"/>
      <w:bookmarkEnd w:id="8"/>
      <w:r w:rsidRPr="004E7ED2">
        <w:rPr>
          <w:rFonts w:ascii="Californian FB" w:hAnsi="Californian FB" w:cs="Times New Roman"/>
          <w:color w:val="000000"/>
          <w:sz w:val="24"/>
          <w:szCs w:val="24"/>
        </w:rPr>
        <w:t>II</w:t>
      </w:r>
    </w:p>
    <w:p w14:paraId="583B2912"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case has a complex and lengthy history. [After the first trial, the District Court held that the declaring code and organizational structure of the Sun Java API was not copyrightable, because it was a “system or method of operation” within the meaning of 17 U.S.C. § 102(b).  On appeal, the Federal Circuit reversed, holding that both the API’s declaring code and its structure were copyrightable. It remanded for another trial on Google’s affirmative defense of fair use.  After that trial, a jury found that Google’s use of the Sun Java API was a fair use. On appeal, the Federal Circuit again reversed, holding that Google’s use was not a fair use. The Supreme Court granted Google’s petition for certiorari on both the copyrightability and fair use issues.]</w:t>
      </w:r>
    </w:p>
    <w:p w14:paraId="70A37293"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496F65D7"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bookmarkStart w:id="9" w:name="co_anchor_I1ba08e81cdd411eba03e924a66164"/>
      <w:bookmarkEnd w:id="9"/>
      <w:r w:rsidRPr="004E7ED2">
        <w:rPr>
          <w:rFonts w:ascii="Californian FB" w:hAnsi="Californian FB" w:cs="Times New Roman"/>
          <w:color w:val="000000"/>
          <w:sz w:val="24"/>
          <w:szCs w:val="24"/>
        </w:rPr>
        <w:t>III</w:t>
      </w:r>
    </w:p>
    <w:p w14:paraId="51A2CD6F"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p>
    <w:p w14:paraId="6DAFFD7A"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 *</w:t>
      </w:r>
    </w:p>
    <w:p w14:paraId="139C2F94"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p>
    <w:p w14:paraId="69D9F6C9"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bookmarkStart w:id="10" w:name="co_anchor_I1ba54971cdd411eba03e924a66164"/>
      <w:bookmarkEnd w:id="10"/>
      <w:r w:rsidRPr="004E7ED2">
        <w:rPr>
          <w:rFonts w:ascii="Californian FB" w:hAnsi="Californian FB" w:cs="Times New Roman"/>
          <w:color w:val="000000"/>
          <w:sz w:val="24"/>
          <w:szCs w:val="24"/>
        </w:rPr>
        <w:t>B</w:t>
      </w:r>
    </w:p>
    <w:p w14:paraId="69DD7BCC"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p>
    <w:p w14:paraId="70E327D5"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Given the rapidly changing technological, economic, and business-related circumstances, we believe we should not answer more than is necessary to resolve the parties’ dispute. We shall assume, but purely for argument’s sake, that the entire Sun Java API falls within the definition of that which can be copyrighted. We shall ask instead whether Google’s use of part of that API was a “fair use.” Unlike the Federal Circuit, we conclude that it was.</w:t>
      </w:r>
    </w:p>
    <w:p w14:paraId="557C17B4"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4A64204" w14:textId="77777777" w:rsidR="008D2F50" w:rsidRPr="004E7ED2" w:rsidRDefault="008D2F50" w:rsidP="008D2F50">
      <w:pPr>
        <w:widowControl w:val="0"/>
        <w:autoSpaceDE w:val="0"/>
        <w:autoSpaceDN w:val="0"/>
        <w:adjustRightInd w:val="0"/>
        <w:spacing w:after="200" w:line="240" w:lineRule="auto"/>
        <w:jc w:val="center"/>
        <w:rPr>
          <w:rFonts w:ascii="Californian FB" w:hAnsi="Californian FB" w:cs="Times New Roman"/>
          <w:color w:val="000000"/>
          <w:sz w:val="24"/>
          <w:szCs w:val="24"/>
        </w:rPr>
      </w:pPr>
      <w:bookmarkStart w:id="11" w:name="co_anchor_I1ba633d1cdd411eba03e924a66164"/>
      <w:bookmarkEnd w:id="11"/>
      <w:r w:rsidRPr="004E7ED2">
        <w:rPr>
          <w:rFonts w:ascii="Californian FB" w:hAnsi="Californian FB" w:cs="Times New Roman"/>
          <w:color w:val="000000"/>
          <w:sz w:val="24"/>
          <w:szCs w:val="24"/>
        </w:rPr>
        <w:t>IV</w:t>
      </w:r>
    </w:p>
    <w:p w14:paraId="1A129B56" w14:textId="740B57DF" w:rsidR="008D2F50" w:rsidRPr="004E7ED2" w:rsidRDefault="00C747A6"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12" w:name="co_anchor_B52053376261_1"/>
      <w:bookmarkEnd w:id="12"/>
      <w:r>
        <w:rPr>
          <w:rFonts w:ascii="Californian FB" w:hAnsi="Californian FB" w:cs="Times New Roman"/>
          <w:color w:val="000000"/>
          <w:sz w:val="24"/>
          <w:szCs w:val="24"/>
        </w:rPr>
        <w:t xml:space="preserve"> </w:t>
      </w:r>
      <w:r w:rsidR="008D2F50" w:rsidRPr="004E7ED2">
        <w:rPr>
          <w:rFonts w:ascii="Californian FB" w:hAnsi="Californian FB" w:cs="Times New Roman"/>
          <w:color w:val="000000"/>
          <w:sz w:val="24"/>
          <w:szCs w:val="24"/>
        </w:rPr>
        <w:t> </w:t>
      </w:r>
    </w:p>
    <w:p w14:paraId="4C8080F2" w14:textId="44C81436" w:rsidR="008D2F50" w:rsidRPr="004E7ED2" w:rsidRDefault="00C747A6"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13" w:name="co_anchor_B62053376261_1"/>
      <w:bookmarkEnd w:id="13"/>
      <w:r>
        <w:rPr>
          <w:rFonts w:ascii="Californian FB" w:hAnsi="Californian FB" w:cs="Times New Roman"/>
          <w:color w:val="000000"/>
          <w:sz w:val="24"/>
          <w:szCs w:val="24"/>
        </w:rPr>
        <w:t xml:space="preserve">*  </w:t>
      </w:r>
      <w:proofErr w:type="gramStart"/>
      <w:r>
        <w:rPr>
          <w:rFonts w:ascii="Californian FB" w:hAnsi="Californian FB" w:cs="Times New Roman"/>
          <w:color w:val="000000"/>
          <w:sz w:val="24"/>
          <w:szCs w:val="24"/>
        </w:rPr>
        <w:t>*  *</w:t>
      </w:r>
      <w:proofErr w:type="gramEnd"/>
      <w:r>
        <w:rPr>
          <w:rFonts w:ascii="Californian FB" w:hAnsi="Californian FB" w:cs="Times New Roman"/>
          <w:color w:val="000000"/>
          <w:sz w:val="24"/>
          <w:szCs w:val="24"/>
        </w:rPr>
        <w:t xml:space="preserve">  [I]</w:t>
      </w:r>
      <w:r w:rsidR="008D2F50" w:rsidRPr="004E7ED2">
        <w:rPr>
          <w:rFonts w:ascii="Californian FB" w:hAnsi="Californian FB" w:cs="Times New Roman"/>
          <w:color w:val="000000"/>
          <w:sz w:val="24"/>
          <w:szCs w:val="24"/>
        </w:rPr>
        <w:t xml:space="preserve">n our view, fair use can play an important role in determining the lawful scope of a computer program copyright, such as the copyright at issue here. It can help to distinguish among technologies. It can distinguish between expressive and functional features of computer code where those features are mixed. It can focus on the legitimate need to provide incentives to </w:t>
      </w:r>
      <w:r w:rsidR="008D2F50" w:rsidRPr="004E7ED2">
        <w:rPr>
          <w:rFonts w:ascii="Californian FB" w:hAnsi="Californian FB" w:cs="Times New Roman"/>
          <w:color w:val="000000"/>
          <w:sz w:val="24"/>
          <w:szCs w:val="24"/>
        </w:rPr>
        <w:lastRenderedPageBreak/>
        <w:t>produce copyrighted material while examining the extent to which yet further protection creates unrelated or illegitimate harms in other markets or to the development of other products. In a word, it can carry out its basic purpose of providing a context-based check that can help to keep a copyright monopoly within its lawful bounds</w:t>
      </w:r>
      <w:proofErr w:type="gramStart"/>
      <w:r w:rsidR="008D2F50" w:rsidRPr="004E7ED2">
        <w:rPr>
          <w:rFonts w:ascii="Californian FB" w:hAnsi="Californian FB" w:cs="Times New Roman"/>
          <w:color w:val="000000"/>
          <w:sz w:val="24"/>
          <w:szCs w:val="24"/>
        </w:rPr>
        <w:t>. . . .</w:t>
      </w:r>
      <w:proofErr w:type="gramEnd"/>
    </w:p>
    <w:p w14:paraId="78DF9A2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7C5395A" w14:textId="77777777" w:rsidR="00C747A6" w:rsidRDefault="00C747A6"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2436113B" w14:textId="4C6CCF23" w:rsidR="00C747A6" w:rsidRDefault="00C747A6" w:rsidP="00E76B0D">
      <w:pPr>
        <w:widowControl w:val="0"/>
        <w:autoSpaceDE w:val="0"/>
        <w:autoSpaceDN w:val="0"/>
        <w:adjustRightInd w:val="0"/>
        <w:spacing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w:t>
      </w:r>
    </w:p>
    <w:p w14:paraId="1FAA0BC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993CE61" w14:textId="1ED55F06"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By defining computer programs in </w:t>
      </w:r>
      <w:hyperlink r:id="rId56" w:history="1">
        <w:r w:rsidRPr="004E7ED2">
          <w:rPr>
            <w:rFonts w:ascii="Californian FB" w:hAnsi="Californian FB" w:cs="Times New Roman"/>
            <w:color w:val="000000"/>
            <w:sz w:val="24"/>
            <w:szCs w:val="24"/>
          </w:rPr>
          <w:t>§ 101</w:t>
        </w:r>
      </w:hyperlink>
      <w:r w:rsidRPr="004E7ED2">
        <w:rPr>
          <w:rFonts w:ascii="Californian FB" w:hAnsi="Californian FB" w:cs="Times New Roman"/>
          <w:color w:val="000000"/>
          <w:sz w:val="24"/>
          <w:szCs w:val="24"/>
        </w:rPr>
        <w:t xml:space="preserve">, Congress chose to place this subject matter within the copyright regime. Like other protected works, that means that the owners of computer programs enjoy the exclusive rights set forth in the Act, including the right to “reproduce [a] copyrighted work” or to “prepare derivative works.” </w:t>
      </w:r>
      <w:hyperlink r:id="rId57" w:history="1">
        <w:r w:rsidRPr="004E7ED2">
          <w:rPr>
            <w:rFonts w:ascii="Californian FB" w:hAnsi="Californian FB" w:cs="Times New Roman"/>
            <w:color w:val="000000"/>
            <w:sz w:val="24"/>
            <w:szCs w:val="24"/>
          </w:rPr>
          <w:t>17 U.S.C. § 106</w:t>
        </w:r>
      </w:hyperlink>
      <w:r w:rsidRPr="004E7ED2">
        <w:rPr>
          <w:rFonts w:ascii="Californian FB" w:hAnsi="Californian FB" w:cs="Times New Roman"/>
          <w:color w:val="000000"/>
          <w:sz w:val="24"/>
          <w:szCs w:val="24"/>
        </w:rPr>
        <w:t xml:space="preserve">. But that also means that exclusive rights in computer programs are limited like any other works. Just as fair use distinguishes among books and films, which are indisputably subjects of copyright, so too must it draw lines among computer programs. And just as fair use takes account of the market in which scripts and paintings are bought and sold, so too must it consider the realities of how technological works are created and disseminated. We do not believe that an approach </w:t>
      </w:r>
      <w:proofErr w:type="gramStart"/>
      <w:r w:rsidRPr="004E7ED2">
        <w:rPr>
          <w:rFonts w:ascii="Californian FB" w:hAnsi="Californian FB" w:cs="Times New Roman"/>
          <w:color w:val="000000"/>
          <w:sz w:val="24"/>
          <w:szCs w:val="24"/>
        </w:rPr>
        <w:t>close</w:t>
      </w:r>
      <w:proofErr w:type="gramEnd"/>
      <w:r w:rsidRPr="004E7ED2">
        <w:rPr>
          <w:rFonts w:ascii="Californian FB" w:hAnsi="Californian FB" w:cs="Times New Roman"/>
          <w:color w:val="000000"/>
          <w:sz w:val="24"/>
          <w:szCs w:val="24"/>
        </w:rPr>
        <w:t xml:space="preserve"> to “all or nothing” would be faithful to the Copyright Act’s overall design.</w:t>
      </w:r>
    </w:p>
    <w:p w14:paraId="1661325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bookmarkStart w:id="14" w:name="co_anchor_I1bab15d1cdd411eba03e924a66164"/>
      <w:bookmarkEnd w:id="14"/>
    </w:p>
    <w:p w14:paraId="29D4D194" w14:textId="77777777" w:rsidR="008D2F50" w:rsidRPr="004E7ED2" w:rsidRDefault="008D2F50" w:rsidP="008D2F50">
      <w:pPr>
        <w:widowControl w:val="0"/>
        <w:autoSpaceDE w:val="0"/>
        <w:autoSpaceDN w:val="0"/>
        <w:adjustRightInd w:val="0"/>
        <w:spacing w:after="20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V</w:t>
      </w:r>
    </w:p>
    <w:p w14:paraId="6478E76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15" w:name="co_anchor_B72053376261_1"/>
      <w:bookmarkEnd w:id="15"/>
      <w:r w:rsidRPr="004E7ED2">
        <w:rPr>
          <w:rFonts w:ascii="Californian FB" w:hAnsi="Californian FB" w:cs="Times New Roman"/>
          <w:color w:val="000000"/>
          <w:sz w:val="24"/>
          <w:szCs w:val="24"/>
        </w:rPr>
        <w:t xml:space="preserve">[The Court held that the question of whether a use is a “fair use” is a mixed question of fact and law. Although reviewing courts should appropriately defer to the jury’s findings of underlying facts, the ultimate question of whether those facts showed a “fair use” is a legal question for judges to decide </w:t>
      </w:r>
      <w:r w:rsidRPr="004E7ED2">
        <w:rPr>
          <w:rFonts w:ascii="Californian FB" w:hAnsi="Californian FB" w:cs="Times New Roman"/>
          <w:i/>
          <w:iCs/>
          <w:color w:val="000000"/>
          <w:sz w:val="24"/>
          <w:szCs w:val="24"/>
        </w:rPr>
        <w:t>de novo</w:t>
      </w:r>
      <w:r w:rsidRPr="004E7ED2">
        <w:rPr>
          <w:rFonts w:ascii="Californian FB" w:hAnsi="Californian FB" w:cs="Times New Roman"/>
          <w:color w:val="000000"/>
          <w:sz w:val="24"/>
          <w:szCs w:val="24"/>
        </w:rPr>
        <w:t xml:space="preserve">. It also held that judges’ </w:t>
      </w:r>
      <w:r w:rsidRPr="004E7ED2">
        <w:rPr>
          <w:rFonts w:ascii="Californian FB" w:hAnsi="Californian FB" w:cs="Times New Roman"/>
          <w:i/>
          <w:iCs/>
          <w:color w:val="000000"/>
          <w:sz w:val="24"/>
          <w:szCs w:val="24"/>
        </w:rPr>
        <w:t>de novo</w:t>
      </w:r>
      <w:r w:rsidRPr="004E7ED2">
        <w:rPr>
          <w:rFonts w:ascii="Californian FB" w:hAnsi="Californian FB" w:cs="Times New Roman"/>
          <w:color w:val="000000"/>
          <w:sz w:val="24"/>
          <w:szCs w:val="24"/>
        </w:rPr>
        <w:t xml:space="preserve"> review of a jury’ decision on fair use did not violate the Seventh Amendment.]</w:t>
      </w:r>
    </w:p>
    <w:p w14:paraId="0D52C6B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B9F3CD1" w14:textId="77777777" w:rsidR="008D2F50" w:rsidRPr="004E7ED2" w:rsidRDefault="008D2F50" w:rsidP="008D2F50">
      <w:pPr>
        <w:widowControl w:val="0"/>
        <w:autoSpaceDE w:val="0"/>
        <w:autoSpaceDN w:val="0"/>
        <w:adjustRightInd w:val="0"/>
        <w:spacing w:after="200" w:line="240" w:lineRule="auto"/>
        <w:jc w:val="center"/>
        <w:rPr>
          <w:rFonts w:ascii="Californian FB" w:hAnsi="Californian FB" w:cs="Times New Roman"/>
          <w:color w:val="000000"/>
          <w:sz w:val="24"/>
          <w:szCs w:val="24"/>
        </w:rPr>
      </w:pPr>
      <w:bookmarkStart w:id="16" w:name="co_anchor_B82053376261_1"/>
      <w:bookmarkStart w:id="17" w:name="co_anchor_I1baf0d71cdd411eba03e924a66164"/>
      <w:bookmarkEnd w:id="16"/>
      <w:bookmarkEnd w:id="17"/>
      <w:r w:rsidRPr="004E7ED2">
        <w:rPr>
          <w:rFonts w:ascii="Californian FB" w:hAnsi="Californian FB" w:cs="Times New Roman"/>
          <w:color w:val="000000"/>
          <w:sz w:val="24"/>
          <w:szCs w:val="24"/>
        </w:rPr>
        <w:t>VI</w:t>
      </w:r>
    </w:p>
    <w:p w14:paraId="66ECF6F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We turn now to the basic legal question before us: Was Google’s copying of the Sun Java API, specifically its use of the declaring code and organizational structure for </w:t>
      </w:r>
      <w:bookmarkStart w:id="18" w:name="co_pp_sp_708_1201_1"/>
      <w:bookmarkEnd w:id="18"/>
      <w:r w:rsidRPr="004E7ED2">
        <w:rPr>
          <w:rFonts w:ascii="Californian FB" w:hAnsi="Californian FB" w:cs="Times New Roman"/>
          <w:color w:val="000000"/>
          <w:sz w:val="24"/>
          <w:szCs w:val="24"/>
        </w:rPr>
        <w:t>37 packages of that API, a “fair use.” In answering this question, we shall consider the four factors set forth in the fair use statute as we find them applicable to the kind of computer programs before us</w:t>
      </w:r>
      <w:proofErr w:type="gramStart"/>
      <w:r w:rsidRPr="004E7ED2">
        <w:rPr>
          <w:rFonts w:ascii="Californian FB" w:hAnsi="Californian FB" w:cs="Times New Roman"/>
          <w:color w:val="000000"/>
          <w:sz w:val="24"/>
          <w:szCs w:val="24"/>
        </w:rPr>
        <w:t>. . . .</w:t>
      </w:r>
      <w:proofErr w:type="gramEnd"/>
      <w:r w:rsidRPr="004E7ED2">
        <w:rPr>
          <w:rFonts w:ascii="Californian FB" w:hAnsi="Californian FB" w:cs="Times New Roman"/>
          <w:color w:val="000000"/>
          <w:sz w:val="24"/>
          <w:szCs w:val="24"/>
        </w:rPr>
        <w:t xml:space="preserve"> For expository purposes, we begin with the second.</w:t>
      </w:r>
    </w:p>
    <w:p w14:paraId="2BCA4D4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bookmarkStart w:id="19" w:name="co_anchor_I1baf5b91cdd411eba03e924a66164"/>
      <w:bookmarkEnd w:id="19"/>
    </w:p>
    <w:p w14:paraId="0B043CF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A. “The Nature of the Copyrighted Work”</w:t>
      </w:r>
    </w:p>
    <w:p w14:paraId="3CA3C033"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711130A7" w14:textId="116BAB39"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20" w:name="co_anchor_B102053376261_1"/>
      <w:bookmarkEnd w:id="20"/>
      <w:r w:rsidRPr="004E7ED2">
        <w:rPr>
          <w:rFonts w:ascii="Californian FB" w:hAnsi="Californian FB" w:cs="Times New Roman"/>
          <w:color w:val="000000"/>
          <w:sz w:val="24"/>
          <w:szCs w:val="24"/>
        </w:rPr>
        <w:t xml:space="preserve">The Sun Java API is a “user interface.” It provides a way through which users (here the programmers) can “manipulate and control” task-performing computer programs “via a series of menu commands.” </w:t>
      </w:r>
      <w:hyperlink r:id="rId58" w:anchor="co_pp_sp_506_809" w:history="1">
        <w:r w:rsidRPr="004E7ED2">
          <w:rPr>
            <w:rFonts w:ascii="Californian FB" w:hAnsi="Californian FB" w:cs="Times New Roman"/>
            <w:i/>
            <w:iCs/>
            <w:color w:val="000000"/>
            <w:sz w:val="24"/>
            <w:szCs w:val="24"/>
          </w:rPr>
          <w:t>Lotus Development Corp.</w:t>
        </w:r>
        <w:r w:rsidRPr="004E7ED2">
          <w:rPr>
            <w:rFonts w:ascii="Californian FB" w:hAnsi="Californian FB" w:cs="Times New Roman"/>
            <w:color w:val="000000"/>
            <w:sz w:val="24"/>
            <w:szCs w:val="24"/>
          </w:rPr>
          <w:t>, 49 F.3d at 809</w:t>
        </w:r>
      </w:hyperlink>
      <w:r w:rsidRPr="004E7ED2">
        <w:rPr>
          <w:rFonts w:ascii="Californian FB" w:hAnsi="Californian FB" w:cs="Times New Roman"/>
          <w:color w:val="000000"/>
          <w:sz w:val="24"/>
          <w:szCs w:val="24"/>
        </w:rPr>
        <w:t>. The API reflects Sun’s division of possible tasks that a computer might perform into a set of actual tasks that certain kinds of computers actually will perform. Sun decided, for example, that its API would call up a task that compares one integer with another to see which is the larger. Sun’s API (to our knowledge) will not call up the task of determining which great Arabic scholar decided to use Arabic numerals (rather than Roman numerals) to perform that “larger integer” task. No one claims that the decisions about what counts as a task are themselves copyrightable—although one might argue about decisions as to how to label and organize such tasks (</w:t>
      </w:r>
      <w:r w:rsidRPr="004E7ED2">
        <w:rPr>
          <w:rFonts w:ascii="Californian FB" w:hAnsi="Californian FB" w:cs="Times New Roman"/>
          <w:i/>
          <w:iCs/>
          <w:color w:val="000000"/>
          <w:sz w:val="24"/>
          <w:szCs w:val="24"/>
        </w:rPr>
        <w:t>e.g.</w:t>
      </w:r>
      <w:r w:rsidRPr="004E7ED2">
        <w:rPr>
          <w:rFonts w:ascii="Californian FB" w:hAnsi="Californian FB" w:cs="Times New Roman"/>
          <w:color w:val="000000"/>
          <w:sz w:val="24"/>
          <w:szCs w:val="24"/>
        </w:rPr>
        <w:t xml:space="preserve">, the decision to name a certain task </w:t>
      </w:r>
      <w:r w:rsidRPr="004E7ED2">
        <w:rPr>
          <w:rFonts w:ascii="Californian FB" w:hAnsi="Californian FB" w:cs="Times New Roman"/>
          <w:color w:val="000000"/>
          <w:sz w:val="24"/>
          <w:szCs w:val="24"/>
        </w:rPr>
        <w:lastRenderedPageBreak/>
        <w:t xml:space="preserve">“max” or to place it in a class called “Math.” Cf. </w:t>
      </w:r>
      <w:hyperlink r:id="rId59" w:history="1">
        <w:r w:rsidRPr="004E7ED2">
          <w:rPr>
            <w:rFonts w:ascii="Californian FB" w:hAnsi="Californian FB" w:cs="Times New Roman"/>
            <w:i/>
            <w:iCs/>
            <w:color w:val="000000"/>
            <w:sz w:val="24"/>
            <w:szCs w:val="24"/>
          </w:rPr>
          <w:t>Baker v. Selden</w:t>
        </w:r>
        <w:r w:rsidRPr="004E7ED2">
          <w:rPr>
            <w:rFonts w:ascii="Californian FB" w:hAnsi="Californian FB" w:cs="Times New Roman"/>
            <w:color w:val="000000"/>
            <w:sz w:val="24"/>
            <w:szCs w:val="24"/>
          </w:rPr>
          <w:t xml:space="preserve">, 101 U.S., 99, 25 </w:t>
        </w:r>
        <w:proofErr w:type="spellStart"/>
        <w:r w:rsidRPr="004E7ED2">
          <w:rPr>
            <w:rFonts w:ascii="Californian FB" w:hAnsi="Californian FB" w:cs="Times New Roman"/>
            <w:color w:val="000000"/>
            <w:sz w:val="24"/>
            <w:szCs w:val="24"/>
          </w:rPr>
          <w:t>L.Ed</w:t>
        </w:r>
        <w:proofErr w:type="spellEnd"/>
        <w:r w:rsidRPr="004E7ED2">
          <w:rPr>
            <w:rFonts w:ascii="Californian FB" w:hAnsi="Californian FB" w:cs="Times New Roman"/>
            <w:color w:val="000000"/>
            <w:sz w:val="24"/>
            <w:szCs w:val="24"/>
          </w:rPr>
          <w:t>. 841 (1880)</w:t>
        </w:r>
      </w:hyperlink>
      <w:r w:rsidRPr="004E7ED2">
        <w:rPr>
          <w:rFonts w:ascii="Californian FB" w:hAnsi="Californian FB" w:cs="Times New Roman"/>
          <w:color w:val="000000"/>
          <w:sz w:val="24"/>
          <w:szCs w:val="24"/>
        </w:rPr>
        <w:t>).</w:t>
      </w:r>
    </w:p>
    <w:p w14:paraId="3B84657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613638C3"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p>
    <w:p w14:paraId="782C6E33"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B8C80CE" w14:textId="02C8C02F"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21" w:name="co_pp_sp_708_1202_1"/>
      <w:bookmarkEnd w:id="21"/>
      <w:r w:rsidRPr="004E7ED2">
        <w:rPr>
          <w:rFonts w:ascii="Californian FB" w:hAnsi="Californian FB" w:cs="Times New Roman"/>
          <w:color w:val="000000"/>
          <w:sz w:val="24"/>
          <w:szCs w:val="24"/>
        </w:rPr>
        <w:t xml:space="preserve">[T]he copied declaring code and the uncopied implementing programs call for, and reflect, different kinds of capabilities. A single implementation may walk a computer through dozens of different steps. </w:t>
      </w:r>
      <w:bookmarkStart w:id="22" w:name="_Hlk78396867"/>
      <w:r w:rsidRPr="004E7ED2">
        <w:rPr>
          <w:rFonts w:ascii="Californian FB" w:hAnsi="Californian FB" w:cs="Times New Roman"/>
          <w:color w:val="000000"/>
          <w:sz w:val="24"/>
          <w:szCs w:val="24"/>
        </w:rPr>
        <w:t xml:space="preserve">To write implementing programs, witnesses told the jury, requires balancing such considerations as how quickly a computer can execute a task or the likely size of the computer’s memory. One witness described that creativity as “magic” practiced by an API developer when he or she worries “about things like power management” for devices that “run on a battery.” </w:t>
      </w:r>
      <w:bookmarkEnd w:id="22"/>
      <w:r w:rsidRPr="004E7ED2">
        <w:rPr>
          <w:rFonts w:ascii="Californian FB" w:hAnsi="Californian FB" w:cs="Times New Roman"/>
          <w:color w:val="000000"/>
          <w:sz w:val="24"/>
          <w:szCs w:val="24"/>
        </w:rPr>
        <w:t>This is the very creativity that was needed to develop the Android software for use not in laptops or desktops but in the very different context of smartphones.</w:t>
      </w:r>
    </w:p>
    <w:p w14:paraId="3836366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2D2DA67" w14:textId="68961E52"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declaring code (inseparable from the programmer’s method calls) embodies a different kind of creativity. Sun Java’s creators, for example, tried to find declaring code names that would prove intuitively easy to remember. They wanted to attract programmers who would learn the system, help to develop it further, and prove reluctant to use another. See </w:t>
      </w:r>
      <w:r w:rsidRPr="004E7ED2">
        <w:rPr>
          <w:rFonts w:ascii="Californian FB" w:hAnsi="Californian FB" w:cs="Times New Roman"/>
          <w:i/>
          <w:iCs/>
          <w:color w:val="000000"/>
          <w:sz w:val="24"/>
          <w:szCs w:val="24"/>
        </w:rPr>
        <w:t>post</w:t>
      </w:r>
      <w:r w:rsidRPr="004E7ED2">
        <w:rPr>
          <w:rFonts w:ascii="Californian FB" w:hAnsi="Californian FB" w:cs="Times New Roman"/>
          <w:color w:val="000000"/>
          <w:sz w:val="24"/>
          <w:szCs w:val="24"/>
        </w:rPr>
        <w:t>, at 1215 (“Declaring code ... is user facing. It must be designed and organized in a way that is intuitive and understandable to developers so that they can invoke it”). Sun’s business strategy originally emphasized the importance of using the API to attract programmers. It sought to make the API “open” and “then ... compete on implementations.” The testimony at trial was replete with examples of witnesses drawing this critical line between the user-centered declaratory code and the innovative implementing code.</w:t>
      </w:r>
    </w:p>
    <w:p w14:paraId="3E115CF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B2918E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These features mean that, as part of a user interface, the declaring code differs to some degree from the mine run of computer programs. Like other computer programs, it is functional in nature. But unlike many other programs, its use is inherently bound together with uncopyrightable ideas (general task division and organization) and new creative expression (Android’s implementing code). Unlike many other programs</w:t>
      </w:r>
      <w:bookmarkStart w:id="23" w:name="_Hlk78484015"/>
      <w:r w:rsidRPr="004E7ED2">
        <w:rPr>
          <w:rFonts w:ascii="Californian FB" w:hAnsi="Californian FB" w:cs="Times New Roman"/>
          <w:color w:val="000000"/>
          <w:sz w:val="24"/>
          <w:szCs w:val="24"/>
        </w:rPr>
        <w:t xml:space="preserve">, </w:t>
      </w:r>
      <w:bookmarkStart w:id="24" w:name="_Hlk78282167"/>
      <w:r w:rsidRPr="004E7ED2">
        <w:rPr>
          <w:rFonts w:ascii="Californian FB" w:hAnsi="Californian FB" w:cs="Times New Roman"/>
          <w:color w:val="000000"/>
          <w:sz w:val="24"/>
          <w:szCs w:val="24"/>
        </w:rPr>
        <w:t>its value in significant part derives from the value that those who do not hold copyrights, namely, computer programmers, invest of their own time and effort to learn the API’s system.</w:t>
      </w:r>
      <w:bookmarkEnd w:id="24"/>
      <w:r w:rsidRPr="004E7ED2">
        <w:rPr>
          <w:rFonts w:ascii="Californian FB" w:hAnsi="Californian FB" w:cs="Times New Roman"/>
          <w:color w:val="000000"/>
          <w:sz w:val="24"/>
          <w:szCs w:val="24"/>
        </w:rPr>
        <w:t xml:space="preserve"> </w:t>
      </w:r>
      <w:bookmarkEnd w:id="23"/>
      <w:r w:rsidRPr="004E7ED2">
        <w:rPr>
          <w:rFonts w:ascii="Californian FB" w:hAnsi="Californian FB" w:cs="Times New Roman"/>
          <w:color w:val="000000"/>
          <w:sz w:val="24"/>
          <w:szCs w:val="24"/>
        </w:rPr>
        <w:t>And unlike many other programs, its value lies in its efforts to encourage programmers to learn and to use that system so that they will use (and continue to use) Sun-related implementing programs that Google did not copy.</w:t>
      </w:r>
    </w:p>
    <w:p w14:paraId="32ACF1D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FC7A1F9" w14:textId="6A946D5D"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Although copyrights protect many different kinds of writing, we have emphasized the need to “</w:t>
      </w:r>
      <w:proofErr w:type="spellStart"/>
      <w:r w:rsidRPr="004E7ED2">
        <w:rPr>
          <w:rFonts w:ascii="Californian FB" w:hAnsi="Californian FB" w:cs="Times New Roman"/>
          <w:color w:val="000000"/>
          <w:sz w:val="24"/>
          <w:szCs w:val="24"/>
        </w:rPr>
        <w:t>recogni</w:t>
      </w:r>
      <w:proofErr w:type="spellEnd"/>
      <w:r w:rsidRPr="004E7ED2">
        <w:rPr>
          <w:rFonts w:ascii="Californian FB" w:hAnsi="Californian FB" w:cs="Times New Roman"/>
          <w:color w:val="000000"/>
          <w:sz w:val="24"/>
          <w:szCs w:val="24"/>
        </w:rPr>
        <w:t xml:space="preserve">[ze] that some works are closer to the core of [copyright] than others,” </w:t>
      </w:r>
      <w:hyperlink r:id="rId60" w:anchor="co_pp_sp_780_586"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586,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In our view, for the reasons just described, the declaring code is, if copyrightable at all, further than are most computer programs (such as the implementing code) from the core of copyright. That fact diminishes the fear, expressed by both the dissent and the Federal Circuit, that application of “fair use” here would seriously undermine the general copyright protection that Congress provided for computer programs. And it means that this factor, “the nature of the copyrighted work,” points in the direction of fair use. </w:t>
      </w:r>
    </w:p>
    <w:p w14:paraId="189D9C82" w14:textId="77777777" w:rsidR="008D2F50" w:rsidRPr="004E7ED2" w:rsidRDefault="008D2F50" w:rsidP="008D2F50">
      <w:pPr>
        <w:widowControl w:val="0"/>
        <w:autoSpaceDE w:val="0"/>
        <w:autoSpaceDN w:val="0"/>
        <w:adjustRightInd w:val="0"/>
        <w:spacing w:before="400" w:after="200" w:line="240" w:lineRule="auto"/>
        <w:jc w:val="center"/>
        <w:rPr>
          <w:rFonts w:ascii="Californian FB" w:hAnsi="Californian FB" w:cs="Times New Roman"/>
          <w:color w:val="000000"/>
          <w:sz w:val="24"/>
          <w:szCs w:val="24"/>
        </w:rPr>
      </w:pPr>
      <w:bookmarkStart w:id="25" w:name="co_anchor_I1bb85c41cdd411eba03e924a66164"/>
      <w:bookmarkEnd w:id="25"/>
      <w:r w:rsidRPr="004E7ED2">
        <w:rPr>
          <w:rFonts w:ascii="Californian FB" w:hAnsi="Californian FB" w:cs="Times New Roman"/>
          <w:color w:val="000000"/>
          <w:sz w:val="24"/>
          <w:szCs w:val="24"/>
        </w:rPr>
        <w:t>B. “The Purpose and Character of the Use”</w:t>
      </w:r>
    </w:p>
    <w:p w14:paraId="7189F2E7" w14:textId="585F314E"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26" w:name="co_anchor_B112053376261_1"/>
      <w:bookmarkEnd w:id="26"/>
      <w:r w:rsidRPr="004E7ED2">
        <w:rPr>
          <w:rFonts w:ascii="Californian FB" w:hAnsi="Californian FB" w:cs="Times New Roman"/>
          <w:color w:val="000000"/>
          <w:sz w:val="24"/>
          <w:szCs w:val="24"/>
        </w:rPr>
        <w:t xml:space="preserve">In the context of fair use, we have considered whether the copier’s use “adds something new, with a further purpose or different character, altering” the copyrighted work “with new expression, </w:t>
      </w:r>
      <w:r w:rsidRPr="004E7ED2">
        <w:rPr>
          <w:rFonts w:ascii="Californian FB" w:hAnsi="Californian FB" w:cs="Times New Roman"/>
          <w:color w:val="000000"/>
          <w:sz w:val="24"/>
          <w:szCs w:val="24"/>
        </w:rPr>
        <w:lastRenderedPageBreak/>
        <w:t xml:space="preserve">meaning or message.” </w:t>
      </w:r>
      <w:hyperlink r:id="rId61" w:anchor="co_pp_sp_708_579"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579,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Commentators have put the matter more broadly, asking whether the copier’s </w:t>
      </w:r>
      <w:bookmarkStart w:id="27" w:name="co_pp_sp_708_1203_1"/>
      <w:bookmarkEnd w:id="27"/>
      <w:r w:rsidRPr="004E7ED2">
        <w:rPr>
          <w:rFonts w:ascii="Californian FB" w:hAnsi="Californian FB" w:cs="Times New Roman"/>
          <w:color w:val="000000"/>
          <w:sz w:val="24"/>
          <w:szCs w:val="24"/>
        </w:rPr>
        <w:t xml:space="preserve">use “fulfill[s] the objective of copyright law to stimulate creativity for public illumination.” </w:t>
      </w:r>
      <w:proofErr w:type="spellStart"/>
      <w:r w:rsidRPr="004E7ED2">
        <w:rPr>
          <w:rFonts w:ascii="Californian FB" w:hAnsi="Californian FB" w:cs="Times New Roman"/>
          <w:color w:val="000000"/>
          <w:sz w:val="24"/>
          <w:szCs w:val="24"/>
        </w:rPr>
        <w:t>Leval</w:t>
      </w:r>
      <w:proofErr w:type="spellEnd"/>
      <w:r w:rsidRPr="004E7ED2">
        <w:rPr>
          <w:rFonts w:ascii="Californian FB" w:hAnsi="Californian FB" w:cs="Times New Roman"/>
          <w:color w:val="000000"/>
          <w:sz w:val="24"/>
          <w:szCs w:val="24"/>
        </w:rPr>
        <w:t xml:space="preserve"> 1111. In answering this question, we have used the word “transformative” to describe a copying use that adds something new and important. </w:t>
      </w:r>
      <w:hyperlink r:id="rId62" w:anchor="co_pp_sp_780_579"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579,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An “ ‘artistic painting’ ” might, for example, fall within the scope of fair use even though it precisely replicates a copyrighted “ ‘advertising logo to make a comment about consumerism.’ ” 4 </w:t>
      </w:r>
      <w:proofErr w:type="spellStart"/>
      <w:r w:rsidRPr="004E7ED2">
        <w:rPr>
          <w:rFonts w:ascii="Californian FB" w:hAnsi="Californian FB" w:cs="Times New Roman"/>
          <w:color w:val="000000"/>
          <w:sz w:val="24"/>
          <w:szCs w:val="24"/>
        </w:rPr>
        <w:t>Nimmer</w:t>
      </w:r>
      <w:proofErr w:type="spellEnd"/>
      <w:r w:rsidRPr="004E7ED2">
        <w:rPr>
          <w:rFonts w:ascii="Californian FB" w:hAnsi="Californian FB" w:cs="Times New Roman"/>
          <w:color w:val="000000"/>
          <w:sz w:val="24"/>
          <w:szCs w:val="24"/>
        </w:rPr>
        <w:t xml:space="preserve"> on Copyright § 13.05[A][1][b] (quoting </w:t>
      </w:r>
      <w:proofErr w:type="spellStart"/>
      <w:r w:rsidRPr="004E7ED2">
        <w:rPr>
          <w:rFonts w:ascii="Californian FB" w:hAnsi="Californian FB" w:cs="Times New Roman"/>
          <w:color w:val="000000"/>
          <w:sz w:val="24"/>
          <w:szCs w:val="24"/>
        </w:rPr>
        <w:t>Netanel</w:t>
      </w:r>
      <w:proofErr w:type="spellEnd"/>
      <w:r w:rsidRPr="004E7ED2">
        <w:rPr>
          <w:rFonts w:ascii="Californian FB" w:hAnsi="Californian FB" w:cs="Times New Roman"/>
          <w:color w:val="000000"/>
          <w:sz w:val="24"/>
          <w:szCs w:val="24"/>
        </w:rPr>
        <w:t xml:space="preserve">, </w:t>
      </w:r>
      <w:hyperlink r:id="rId63" w:anchor="co_pp_sp_184049_746" w:history="1">
        <w:r w:rsidRPr="004E7ED2">
          <w:rPr>
            <w:rFonts w:ascii="Californian FB" w:hAnsi="Californian FB" w:cs="Times New Roman"/>
            <w:color w:val="000000"/>
            <w:sz w:val="24"/>
            <w:szCs w:val="24"/>
          </w:rPr>
          <w:t>Making Sense of Fair Use, 15 Lewis &amp; Clark L. Rev. 715, 746 (2011)</w:t>
        </w:r>
      </w:hyperlink>
      <w:r w:rsidRPr="004E7ED2">
        <w:rPr>
          <w:rFonts w:ascii="Californian FB" w:hAnsi="Californian FB" w:cs="Times New Roman"/>
          <w:color w:val="000000"/>
          <w:sz w:val="24"/>
          <w:szCs w:val="24"/>
        </w:rPr>
        <w:t xml:space="preserve">). Or, as we held in </w:t>
      </w:r>
      <w:hyperlink r:id="rId64" w:history="1">
        <w:r w:rsidRPr="004E7ED2">
          <w:rPr>
            <w:rFonts w:ascii="Californian FB" w:hAnsi="Californian FB" w:cs="Times New Roman"/>
            <w:i/>
            <w:iCs/>
            <w:color w:val="000000"/>
            <w:sz w:val="24"/>
            <w:szCs w:val="24"/>
          </w:rPr>
          <w:t>Campbell</w:t>
        </w:r>
      </w:hyperlink>
      <w:r w:rsidRPr="004E7ED2">
        <w:rPr>
          <w:rFonts w:ascii="Californian FB" w:hAnsi="Californian FB" w:cs="Times New Roman"/>
          <w:color w:val="000000"/>
          <w:sz w:val="24"/>
          <w:szCs w:val="24"/>
        </w:rPr>
        <w:t>, a parody can be transformative because it comments on the original or criticizes it, for “[p]</w:t>
      </w:r>
      <w:proofErr w:type="spellStart"/>
      <w:r w:rsidRPr="004E7ED2">
        <w:rPr>
          <w:rFonts w:ascii="Californian FB" w:hAnsi="Californian FB" w:cs="Times New Roman"/>
          <w:color w:val="000000"/>
          <w:sz w:val="24"/>
          <w:szCs w:val="24"/>
        </w:rPr>
        <w:t>arody</w:t>
      </w:r>
      <w:proofErr w:type="spellEnd"/>
      <w:r w:rsidRPr="004E7ED2">
        <w:rPr>
          <w:rFonts w:ascii="Californian FB" w:hAnsi="Californian FB" w:cs="Times New Roman"/>
          <w:color w:val="000000"/>
          <w:sz w:val="24"/>
          <w:szCs w:val="24"/>
        </w:rPr>
        <w:t xml:space="preserve"> needs to mimic an original to make its point.” </w:t>
      </w:r>
      <w:hyperlink r:id="rId65" w:anchor="co_pp_sp_780_580" w:history="1">
        <w:r w:rsidRPr="004E7ED2">
          <w:rPr>
            <w:rFonts w:ascii="Californian FB" w:hAnsi="Californian FB" w:cs="Times New Roman"/>
            <w:color w:val="000000"/>
            <w:sz w:val="24"/>
            <w:szCs w:val="24"/>
          </w:rPr>
          <w:t xml:space="preserve">510 U.S., at 580–581,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w:t>
      </w:r>
    </w:p>
    <w:p w14:paraId="5438734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4ABC2F7" w14:textId="56F37332"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Google copied portions of the Sun Java API precisely, and it did so in part for the same reason that Sun created those portions, namely, to enable programmers to call up implementing programs that would accomplish particular tasks. But since virtually any unauthorized use of a copyrighted computer program (say, for teaching or research) would do the same, to stop here would severely limit the scope of fair use in the functional context of computer programs. Rather, in determining whether a use is “transformative,” we must go further and examine the copying’s more specifically described “purpose[s]” and “character.” </w:t>
      </w:r>
      <w:hyperlink r:id="rId66" w:anchor="co_pp_f1c50000821b0" w:history="1">
        <w:r w:rsidRPr="004E7ED2">
          <w:rPr>
            <w:rFonts w:ascii="Californian FB" w:hAnsi="Californian FB" w:cs="Times New Roman"/>
            <w:color w:val="000000"/>
            <w:sz w:val="24"/>
            <w:szCs w:val="24"/>
          </w:rPr>
          <w:t>17 U.S.C. § 107(1)</w:t>
        </w:r>
      </w:hyperlink>
      <w:r w:rsidRPr="004E7ED2">
        <w:rPr>
          <w:rFonts w:ascii="Californian FB" w:hAnsi="Californian FB" w:cs="Times New Roman"/>
          <w:color w:val="000000"/>
          <w:sz w:val="24"/>
          <w:szCs w:val="24"/>
        </w:rPr>
        <w:t>.</w:t>
      </w:r>
    </w:p>
    <w:p w14:paraId="1C63327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4946DBB" w14:textId="48B1EB50"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Here Google’s use of the Sun Java API seeks to create new products. It seeks to expand the use and usefulness of Android-based smartphones. Its new product offers programmers a highly creative and innovative tool for a smartphone environment. To the extent that Google used parts of the Sun Java API to create a new platform that could be readily used by programmers, its use was consistent with that creative “progress” that is the basic constitutional objective of copyright itself. Cf. </w:t>
      </w:r>
      <w:hyperlink r:id="rId67" w:anchor="co_pp_sp_780_349" w:history="1">
        <w:r w:rsidRPr="004E7ED2">
          <w:rPr>
            <w:rFonts w:ascii="Californian FB" w:hAnsi="Californian FB" w:cs="Times New Roman"/>
            <w:i/>
            <w:iCs/>
            <w:color w:val="000000"/>
            <w:sz w:val="24"/>
            <w:szCs w:val="24"/>
          </w:rPr>
          <w:t>Feist</w:t>
        </w:r>
        <w:r w:rsidRPr="004E7ED2">
          <w:rPr>
            <w:rFonts w:ascii="Californian FB" w:hAnsi="Californian FB" w:cs="Times New Roman"/>
            <w:color w:val="000000"/>
            <w:sz w:val="24"/>
            <w:szCs w:val="24"/>
          </w:rPr>
          <w:t xml:space="preserve">, 499 U.S., at 349–350, 111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1282</w:t>
        </w:r>
      </w:hyperlink>
      <w:r w:rsidRPr="004E7ED2">
        <w:rPr>
          <w:rFonts w:ascii="Californian FB" w:hAnsi="Californian FB" w:cs="Times New Roman"/>
          <w:color w:val="000000"/>
          <w:sz w:val="24"/>
          <w:szCs w:val="24"/>
        </w:rPr>
        <w:t xml:space="preserve"> (“The primary objective of copyright is not to reward the labor of authors, but ‘[t]o promote the Progress of Science and useful Arts’ ” (quoting </w:t>
      </w:r>
      <w:hyperlink r:id="rId68" w:history="1">
        <w:r w:rsidRPr="004E7ED2">
          <w:rPr>
            <w:rFonts w:ascii="Californian FB" w:hAnsi="Californian FB" w:cs="Times New Roman"/>
            <w:color w:val="000000"/>
            <w:sz w:val="24"/>
            <w:szCs w:val="24"/>
          </w:rPr>
          <w:t>U. S. Const., Art. I, § 8, cl. 8</w:t>
        </w:r>
      </w:hyperlink>
      <w:r w:rsidRPr="004E7ED2">
        <w:rPr>
          <w:rFonts w:ascii="Californian FB" w:hAnsi="Californian FB" w:cs="Times New Roman"/>
          <w:color w:val="000000"/>
          <w:sz w:val="24"/>
          <w:szCs w:val="24"/>
        </w:rPr>
        <w:t>)).</w:t>
      </w:r>
    </w:p>
    <w:p w14:paraId="6D4258A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54EED1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jury heard that Google limited its use of the Sun Java API to tasks and specific programming demands related to Android. It copied the API (which Sun created for use in desktop and laptop computers) only insofar as needed to include tasks that would be useful in smartphone programs. App. 169–170. </w:t>
      </w:r>
      <w:bookmarkStart w:id="28" w:name="_Hlk78486682"/>
      <w:r w:rsidRPr="004E7ED2">
        <w:rPr>
          <w:rFonts w:ascii="Californian FB" w:hAnsi="Californian FB" w:cs="Times New Roman"/>
          <w:color w:val="000000"/>
          <w:sz w:val="24"/>
          <w:szCs w:val="24"/>
        </w:rPr>
        <w:t xml:space="preserve">And it did so only insofar as </w:t>
      </w:r>
      <w:proofErr w:type="gramStart"/>
      <w:r w:rsidRPr="004E7ED2">
        <w:rPr>
          <w:rFonts w:ascii="Californian FB" w:hAnsi="Californian FB" w:cs="Times New Roman"/>
          <w:color w:val="000000"/>
          <w:sz w:val="24"/>
          <w:szCs w:val="24"/>
        </w:rPr>
        <w:t>needed</w:t>
      </w:r>
      <w:proofErr w:type="gramEnd"/>
      <w:r w:rsidRPr="004E7ED2">
        <w:rPr>
          <w:rFonts w:ascii="Californian FB" w:hAnsi="Californian FB" w:cs="Times New Roman"/>
          <w:color w:val="000000"/>
          <w:sz w:val="24"/>
          <w:szCs w:val="24"/>
        </w:rPr>
        <w:t xml:space="preserve"> to allow programmers to call upon those tasks without discarding a portion of a familiar programming language and learning a new one. </w:t>
      </w:r>
      <w:bookmarkEnd w:id="28"/>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139–140. To repeat, Google, through Android, provided a new collection of tasks operating in a distinct and different computing environment. Those tasks were carried out through the use of new implementing code (that Google wrote) designed to operate within that new environment. Some of the </w:t>
      </w:r>
      <w:r w:rsidRPr="004E7ED2">
        <w:rPr>
          <w:rFonts w:ascii="Californian FB" w:hAnsi="Californian FB" w:cs="Times New Roman"/>
          <w:i/>
          <w:iCs/>
          <w:color w:val="000000"/>
          <w:sz w:val="24"/>
          <w:szCs w:val="24"/>
        </w:rPr>
        <w:t>amici</w:t>
      </w:r>
      <w:r w:rsidRPr="004E7ED2">
        <w:rPr>
          <w:rFonts w:ascii="Californian FB" w:hAnsi="Californian FB" w:cs="Times New Roman"/>
          <w:color w:val="000000"/>
          <w:sz w:val="24"/>
          <w:szCs w:val="24"/>
        </w:rPr>
        <w:t xml:space="preserve"> refer to what Google did as “reimplementation,” defined as the “building of a system ... that repurposes the same words and syntaxes” of an existing system—in this case so that programmers who had learned an existing system could put their basic skills to use in a new one. Brief for R Street Institute et al. as </w:t>
      </w:r>
      <w:r w:rsidRPr="004E7ED2">
        <w:rPr>
          <w:rFonts w:ascii="Californian FB" w:hAnsi="Californian FB" w:cs="Times New Roman"/>
          <w:i/>
          <w:iCs/>
          <w:color w:val="000000"/>
          <w:sz w:val="24"/>
          <w:szCs w:val="24"/>
        </w:rPr>
        <w:t>Amici Curiae</w:t>
      </w:r>
      <w:r w:rsidRPr="004E7ED2">
        <w:rPr>
          <w:rFonts w:ascii="Californian FB" w:hAnsi="Californian FB" w:cs="Times New Roman"/>
          <w:color w:val="000000"/>
          <w:sz w:val="24"/>
          <w:szCs w:val="24"/>
        </w:rPr>
        <w:t xml:space="preserve"> 2.</w:t>
      </w:r>
    </w:p>
    <w:p w14:paraId="5FEA1B5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326C05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record here demonstrates the numerous ways in which reimplementing an interface can further the development of computer programs. The jury heard that shared interfaces are necessary for different programs to speak to each other. App. 125 (“We have to agree on the APIs so that the application I write to show a movie runs on your device”). It heard that the reimplementation of interfaces is necessary </w:t>
      </w:r>
      <w:bookmarkStart w:id="29" w:name="co_pp_sp_708_1204_1"/>
      <w:bookmarkEnd w:id="29"/>
      <w:r w:rsidRPr="004E7ED2">
        <w:rPr>
          <w:rFonts w:ascii="Californian FB" w:hAnsi="Californian FB" w:cs="Times New Roman"/>
          <w:color w:val="000000"/>
          <w:sz w:val="24"/>
          <w:szCs w:val="24"/>
        </w:rPr>
        <w:t xml:space="preserve">if programmers are to be able to use their acquired </w:t>
      </w:r>
      <w:r w:rsidRPr="004E7ED2">
        <w:rPr>
          <w:rFonts w:ascii="Californian FB" w:hAnsi="Californian FB" w:cs="Times New Roman"/>
          <w:color w:val="000000"/>
          <w:sz w:val="24"/>
          <w:szCs w:val="24"/>
        </w:rPr>
        <w:lastRenderedPageBreak/>
        <w:t xml:space="preserve">skills.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191 (“If the API labels change, then either the software wouldn’t continue to work anymore or the developer ... would have to learn a whole new language to be able to use these API labels”). It heard that the reuse of APIs is common in the industry.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115, 155, 663. It heard that Sun itself had used pre-existing interfaces in creating Java.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664. And it heard that Sun executives thought that widespread use of the Java programming language, including use on a smartphone platform, would benefit the company.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at 130–133.</w:t>
      </w:r>
    </w:p>
    <w:p w14:paraId="70AE12E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61195DA6"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 *</w:t>
      </w:r>
    </w:p>
    <w:p w14:paraId="252A88D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BD06A4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These and related facts convince us that the “purpose and character” of Google’s copying was transformative—to the point where this factor too weighs in favor of fair use.</w:t>
      </w:r>
    </w:p>
    <w:p w14:paraId="358A459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49D82D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Court notes that courts have also considered commerciality and good faith as part of the first factor inquiry. As for commerciality, the Court notes that many fair uses, such as news reporting, are also often commercial, and also that commerciality will be less important when a use is transformative. As for good faith, it suggests that skepticism about the role of that consideration is justifiable, but holds only that alleged bad faith is not determinative in this instance given the weight of other factors.]</w:t>
      </w:r>
    </w:p>
    <w:p w14:paraId="72CED109" w14:textId="77777777" w:rsidR="008D2F50" w:rsidRPr="004E7ED2" w:rsidRDefault="008D2F50" w:rsidP="00AB7809">
      <w:pPr>
        <w:widowControl w:val="0"/>
        <w:autoSpaceDE w:val="0"/>
        <w:autoSpaceDN w:val="0"/>
        <w:adjustRightInd w:val="0"/>
        <w:spacing w:before="200" w:after="200" w:line="240" w:lineRule="auto"/>
        <w:jc w:val="center"/>
        <w:rPr>
          <w:rFonts w:ascii="Californian FB" w:hAnsi="Californian FB" w:cs="Times New Roman"/>
          <w:color w:val="000000"/>
          <w:sz w:val="24"/>
          <w:szCs w:val="24"/>
        </w:rPr>
      </w:pPr>
      <w:bookmarkStart w:id="30" w:name="co_anchor_I1bbd8c61cdd411eba03e924a66164"/>
      <w:bookmarkEnd w:id="30"/>
      <w:r w:rsidRPr="004E7ED2">
        <w:rPr>
          <w:rFonts w:ascii="Californian FB" w:hAnsi="Californian FB" w:cs="Times New Roman"/>
          <w:color w:val="000000"/>
          <w:sz w:val="24"/>
          <w:szCs w:val="24"/>
        </w:rPr>
        <w:t>C. “The Amount and Substantiality of the Portion Used”</w:t>
      </w:r>
    </w:p>
    <w:p w14:paraId="033642E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31" w:name="co_anchor_B122053376261_1"/>
      <w:bookmarkEnd w:id="31"/>
      <w:r w:rsidRPr="004E7ED2">
        <w:rPr>
          <w:rFonts w:ascii="Californian FB" w:hAnsi="Californian FB" w:cs="Times New Roman"/>
          <w:color w:val="000000"/>
          <w:sz w:val="24"/>
          <w:szCs w:val="24"/>
        </w:rPr>
        <w:t xml:space="preserve">If one considers the declaring code in isolation, the quantitative amount of what Google copied was large. Google copied the declaring code for 37 packages of the Sun Java API, totaling approximately 11,500 lines of code. Those lines of code amount to virtually all the declaring code needed to call up hundreds of different tasks. On the other hand, if one considers </w:t>
      </w:r>
      <w:bookmarkStart w:id="32" w:name="co_pp_sp_708_1205_1"/>
      <w:bookmarkEnd w:id="32"/>
      <w:r w:rsidRPr="004E7ED2">
        <w:rPr>
          <w:rFonts w:ascii="Californian FB" w:hAnsi="Californian FB" w:cs="Times New Roman"/>
          <w:color w:val="000000"/>
          <w:sz w:val="24"/>
          <w:szCs w:val="24"/>
        </w:rPr>
        <w:t>the entire set of software material in the Sun Java API, the quantitative amount copied was small. The total set of Sun Java API computer code, including implementing code, amounted to 2.86 million lines, of which the copied 11,500 lines were only 0.4 percent</w:t>
      </w:r>
      <w:proofErr w:type="gramStart"/>
      <w:r w:rsidRPr="004E7ED2">
        <w:rPr>
          <w:rFonts w:ascii="Californian FB" w:hAnsi="Californian FB" w:cs="Times New Roman"/>
          <w:color w:val="000000"/>
          <w:sz w:val="24"/>
          <w:szCs w:val="24"/>
        </w:rPr>
        <w:t>. . . .</w:t>
      </w:r>
      <w:proofErr w:type="gramEnd"/>
    </w:p>
    <w:p w14:paraId="53B067E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18F3C00" w14:textId="6C9D4350"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Several features of Google’s copying suggest that the better way to look at the numbers is to take into account the several million lines that Google did not copy. For one thing, the Sun Java API is inseparably bound to those task-implementing lines. Its purpose is to call them up. For another, Google copied those lines not because of their creativity, their beauty, or even (in a sense) because of their purpose. It copied them because programmers had already learned to work with the Sun Java API’s system, and it would have been difficult, perhaps prohibitively so, to attract programmers to build its Android smartphone system without them. Further, Google’s basic purpose was to create a different task-related system for a different computing environment (smartphones) and to create a platform—the Android platform—that would help achieve and popularize that objective. The “substantiality” factor will generally weigh in favor of fair use where, as here, the amount of copying was tethered to a valid, and transformative, purpose. </w:t>
      </w:r>
      <w:r w:rsidRPr="004E7ED2">
        <w:rPr>
          <w:rFonts w:ascii="Californian FB" w:hAnsi="Californian FB" w:cs="Times New Roman"/>
          <w:i/>
          <w:iCs/>
          <w:color w:val="000000"/>
          <w:sz w:val="24"/>
          <w:szCs w:val="24"/>
        </w:rPr>
        <w:t>Supra</w:t>
      </w:r>
      <w:r w:rsidRPr="004E7ED2">
        <w:rPr>
          <w:rFonts w:ascii="Californian FB" w:hAnsi="Californian FB" w:cs="Times New Roman"/>
          <w:color w:val="000000"/>
          <w:sz w:val="24"/>
          <w:szCs w:val="24"/>
        </w:rPr>
        <w:t xml:space="preserve">, at 1203 – 1204; see </w:t>
      </w:r>
      <w:hyperlink r:id="rId69" w:anchor="co_pp_sp_780_586"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586–587,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(explaining that the factor three “enquiry will harken back to the first of the statutory factors, for ... the extent of permissible copying varies with the purpose and character of the use”).</w:t>
      </w:r>
    </w:p>
    <w:p w14:paraId="5EFD9B1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037F5752" w14:textId="2CDF1FB9" w:rsidR="008D2F50" w:rsidRPr="004E7ED2" w:rsidRDefault="00E76B0D" w:rsidP="00E76B0D">
      <w:pPr>
        <w:widowControl w:val="0"/>
        <w:autoSpaceDE w:val="0"/>
        <w:autoSpaceDN w:val="0"/>
        <w:adjustRightInd w:val="0"/>
        <w:spacing w:after="12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w:t>
      </w:r>
    </w:p>
    <w:p w14:paraId="4745A3C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We consequently believe that this “substantiality” factor weighs in favor of fair use.</w:t>
      </w:r>
    </w:p>
    <w:p w14:paraId="55A9E675" w14:textId="77777777" w:rsidR="008D2F50" w:rsidRPr="004E7ED2" w:rsidRDefault="008D2F50" w:rsidP="008D2F50">
      <w:pPr>
        <w:widowControl w:val="0"/>
        <w:autoSpaceDE w:val="0"/>
        <w:autoSpaceDN w:val="0"/>
        <w:adjustRightInd w:val="0"/>
        <w:spacing w:before="200" w:after="200" w:line="240" w:lineRule="auto"/>
        <w:jc w:val="center"/>
        <w:rPr>
          <w:rFonts w:ascii="Californian FB" w:hAnsi="Californian FB" w:cs="Times New Roman"/>
          <w:color w:val="000000"/>
          <w:sz w:val="24"/>
          <w:szCs w:val="24"/>
        </w:rPr>
      </w:pPr>
      <w:bookmarkStart w:id="33" w:name="co_anchor_I1bc07291cdd411eba03e924a66164"/>
      <w:bookmarkEnd w:id="33"/>
      <w:r w:rsidRPr="004E7ED2">
        <w:rPr>
          <w:rFonts w:ascii="Californian FB" w:hAnsi="Californian FB" w:cs="Times New Roman"/>
          <w:color w:val="000000"/>
          <w:sz w:val="24"/>
          <w:szCs w:val="24"/>
        </w:rPr>
        <w:lastRenderedPageBreak/>
        <w:t>D. Market Effects</w:t>
      </w:r>
    </w:p>
    <w:p w14:paraId="71FB016D" w14:textId="571FB54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34" w:name="co_anchor_B132053376261_1"/>
      <w:bookmarkEnd w:id="34"/>
      <w:r w:rsidRPr="004E7ED2">
        <w:rPr>
          <w:rFonts w:ascii="Californian FB" w:hAnsi="Californian FB" w:cs="Times New Roman"/>
          <w:color w:val="000000"/>
          <w:sz w:val="24"/>
          <w:szCs w:val="24"/>
        </w:rPr>
        <w:t xml:space="preserve">The fourth statutory factor focuses upon the “effect” of the copying in the “market for or value of the copyrighted work.” </w:t>
      </w:r>
      <w:hyperlink r:id="rId70" w:anchor="co_pp_0bd500007a412" w:history="1">
        <w:r w:rsidRPr="004E7ED2">
          <w:rPr>
            <w:rFonts w:ascii="Californian FB" w:hAnsi="Californian FB" w:cs="Times New Roman"/>
            <w:color w:val="000000"/>
            <w:sz w:val="24"/>
            <w:szCs w:val="24"/>
          </w:rPr>
          <w:t>17 U.S.C. § 107(4)</w:t>
        </w:r>
      </w:hyperlink>
      <w:r w:rsidRPr="004E7ED2">
        <w:rPr>
          <w:rFonts w:ascii="Californian FB" w:hAnsi="Californian FB" w:cs="Times New Roman"/>
          <w:color w:val="000000"/>
          <w:sz w:val="24"/>
          <w:szCs w:val="24"/>
        </w:rPr>
        <w:t xml:space="preserve">. Consideration of this factor, at least where computer programs are at issue, can prove more complex than at first it may seem. It can require a court to consider the amount of money that the copyright owner might lose. * * * As we pointed out in </w:t>
      </w:r>
      <w:hyperlink r:id="rId71" w:history="1">
        <w:r w:rsidRPr="004E7ED2">
          <w:rPr>
            <w:rFonts w:ascii="Californian FB" w:hAnsi="Californian FB" w:cs="Times New Roman"/>
            <w:i/>
            <w:iCs/>
            <w:color w:val="000000"/>
            <w:sz w:val="24"/>
            <w:szCs w:val="24"/>
          </w:rPr>
          <w:t>Campbell</w:t>
        </w:r>
      </w:hyperlink>
      <w:r w:rsidRPr="004E7ED2">
        <w:rPr>
          <w:rFonts w:ascii="Californian FB" w:hAnsi="Californian FB" w:cs="Times New Roman"/>
          <w:color w:val="000000"/>
          <w:sz w:val="24"/>
          <w:szCs w:val="24"/>
        </w:rPr>
        <w:t xml:space="preserve">, “verbatim copying of the original in its entirety for commercial purposes” may well produce a market substitute for an author’s work. </w:t>
      </w:r>
      <w:hyperlink r:id="rId72" w:anchor="co_pp_sp_780_591" w:history="1">
        <w:r w:rsidRPr="004E7ED2">
          <w:rPr>
            <w:rFonts w:ascii="Californian FB" w:hAnsi="Californian FB" w:cs="Times New Roman"/>
            <w:color w:val="000000"/>
            <w:sz w:val="24"/>
            <w:szCs w:val="24"/>
          </w:rPr>
          <w:t xml:space="preserve">510 U.S., at 591,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Making a film of an author’s book may similarly mean potential or presumed losses to the copyright owner. Those losses normally conflict with copyright’s basic objective: providing authors with exclusive rights that will spur creative expression.</w:t>
      </w:r>
    </w:p>
    <w:p w14:paraId="4572942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7AA8930" w14:textId="2E1F2EF9"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But a potential loss of revenue is not the whole story. We here must consider not just the amount but also the source of the loss. As we pointed out in </w:t>
      </w:r>
      <w:hyperlink r:id="rId73" w:history="1">
        <w:r w:rsidRPr="004E7ED2">
          <w:rPr>
            <w:rFonts w:ascii="Californian FB" w:hAnsi="Californian FB" w:cs="Times New Roman"/>
            <w:i/>
            <w:iCs/>
            <w:color w:val="000000"/>
            <w:sz w:val="24"/>
            <w:szCs w:val="24"/>
          </w:rPr>
          <w:t>Campbell</w:t>
        </w:r>
      </w:hyperlink>
      <w:r w:rsidRPr="004E7ED2">
        <w:rPr>
          <w:rFonts w:ascii="Californian FB" w:hAnsi="Californian FB" w:cs="Times New Roman"/>
          <w:color w:val="000000"/>
          <w:sz w:val="24"/>
          <w:szCs w:val="24"/>
        </w:rPr>
        <w:t>, a “lethal parody, like a scathing theatre review,” may “</w:t>
      </w:r>
      <w:proofErr w:type="spellStart"/>
      <w:r w:rsidRPr="004E7ED2">
        <w:rPr>
          <w:rFonts w:ascii="Californian FB" w:hAnsi="Californian FB" w:cs="Times New Roman"/>
          <w:color w:val="000000"/>
          <w:sz w:val="24"/>
          <w:szCs w:val="24"/>
        </w:rPr>
        <w:t>kil</w:t>
      </w:r>
      <w:proofErr w:type="spellEnd"/>
      <w:r w:rsidRPr="004E7ED2">
        <w:rPr>
          <w:rFonts w:ascii="Californian FB" w:hAnsi="Californian FB" w:cs="Times New Roman"/>
          <w:color w:val="000000"/>
          <w:sz w:val="24"/>
          <w:szCs w:val="24"/>
        </w:rPr>
        <w:t xml:space="preserve">[l] demand for the original.” </w:t>
      </w:r>
      <w:hyperlink r:id="rId74"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591–592,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Yet this kind of harm, even if directly translated into foregone dollars, is not “cognizable under the Copyright Act.” </w:t>
      </w:r>
      <w:hyperlink r:id="rId75" w:history="1">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592,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w:t>
      </w:r>
    </w:p>
    <w:p w14:paraId="445DDB4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FB29274" w14:textId="7D59CE3C"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35" w:name="_Hlk78283812"/>
      <w:r w:rsidRPr="004E7ED2">
        <w:rPr>
          <w:rFonts w:ascii="Californian FB" w:hAnsi="Californian FB" w:cs="Times New Roman"/>
          <w:color w:val="000000"/>
          <w:sz w:val="24"/>
          <w:szCs w:val="24"/>
        </w:rPr>
        <w:t xml:space="preserve">Further, we must take into account the public benefits the copying will likely produce. </w:t>
      </w:r>
      <w:bookmarkEnd w:id="35"/>
      <w:r w:rsidRPr="004E7ED2">
        <w:rPr>
          <w:rFonts w:ascii="Californian FB" w:hAnsi="Californian FB" w:cs="Times New Roman"/>
          <w:color w:val="000000"/>
          <w:sz w:val="24"/>
          <w:szCs w:val="24"/>
        </w:rPr>
        <w:t xml:space="preserve">Are those benefits, for example, related to copyright’s concern for the creative production of new expression? Are they comparatively important, or unimportant, when compared with dollar amounts likely lost (taking into account as well the nature of the source of the loss)? Cf. </w:t>
      </w:r>
      <w:hyperlink r:id="rId76" w:anchor="co_pp_sp_350_183" w:history="1">
        <w:r w:rsidRPr="004E7ED2">
          <w:rPr>
            <w:rFonts w:ascii="Californian FB" w:hAnsi="Californian FB" w:cs="Times New Roman"/>
            <w:i/>
            <w:iCs/>
            <w:color w:val="000000"/>
            <w:sz w:val="24"/>
            <w:szCs w:val="24"/>
          </w:rPr>
          <w:t>MCA, INC. v. Wilson</w:t>
        </w:r>
        <w:r w:rsidRPr="004E7ED2">
          <w:rPr>
            <w:rFonts w:ascii="Californian FB" w:hAnsi="Californian FB" w:cs="Times New Roman"/>
            <w:color w:val="000000"/>
            <w:sz w:val="24"/>
            <w:szCs w:val="24"/>
          </w:rPr>
          <w:t>, 677 F.2d 180, 183 (C.A.2 1981)</w:t>
        </w:r>
      </w:hyperlink>
      <w:r w:rsidRPr="004E7ED2">
        <w:rPr>
          <w:rFonts w:ascii="Californian FB" w:hAnsi="Californian FB" w:cs="Times New Roman"/>
          <w:color w:val="000000"/>
          <w:sz w:val="24"/>
          <w:szCs w:val="24"/>
        </w:rPr>
        <w:t xml:space="preserve"> (calling for a balancing of public benefits and losses to copyright owner under this factor).</w:t>
      </w:r>
    </w:p>
    <w:p w14:paraId="60A94D8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A10D2C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We do not say that these questions are always relevant to the application of fair use, not even in the world of computer programs. Nor do we say that these questions are the only questions a court might ask. But we do find them relevant here in helping to determine the likely market effects of Google’s reimplementation.</w:t>
      </w:r>
    </w:p>
    <w:p w14:paraId="527394E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72455F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As to the likely amount of loss, the jury could have found that Android did not harm the actual or potential markets for Java SE. And it could have found that Sun itself (now Oracle) would not have been able to enter those markets successfully whether Google did, or did not, copy a part of its API. First, evidence at trial demonstrated that, regardless of Android’s smartphone technology, Sun was poorly positioned to succeed in the mobile phone market. </w:t>
      </w:r>
    </w:p>
    <w:p w14:paraId="080365E3"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056877EE"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p>
    <w:p w14:paraId="13CD9D5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521A993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Second, the jury was repeatedly told that devices using Google’s Android platform were different in kind from those </w:t>
      </w:r>
      <w:bookmarkStart w:id="36" w:name="co_pp_sp_708_1207_1"/>
      <w:bookmarkEnd w:id="36"/>
      <w:r w:rsidRPr="004E7ED2">
        <w:rPr>
          <w:rFonts w:ascii="Californian FB" w:hAnsi="Californian FB" w:cs="Times New Roman"/>
          <w:color w:val="000000"/>
          <w:sz w:val="24"/>
          <w:szCs w:val="24"/>
        </w:rPr>
        <w:t xml:space="preserve">that licensed Sun’s technology. For instance, witnesses explained that the broader industry distinguished between smartphones and simpler “feature phones.”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237. As to the specific devices that used Sun-created software, the jury heard that one of these phones lacked a touchscreen,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359–360, while another did not have a QWERTY keyboard,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672. For other mobile devices, the evidence showed that simpler products, like the Kindle, used Java software,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396, while more advanced technology, like the Kindle Fire, were built on the Android operating system,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206. This record evidence demonstrates that, rather than just </w:t>
      </w:r>
      <w:r w:rsidRPr="004E7ED2">
        <w:rPr>
          <w:rFonts w:ascii="Californian FB" w:hAnsi="Californian FB" w:cs="Times New Roman"/>
          <w:color w:val="000000"/>
          <w:sz w:val="24"/>
          <w:szCs w:val="24"/>
        </w:rPr>
        <w:lastRenderedPageBreak/>
        <w:t xml:space="preserve">“repurposing [Sun’s] code from larger computers to smaller computers,” </w:t>
      </w:r>
      <w:r w:rsidRPr="004E7ED2">
        <w:rPr>
          <w:rFonts w:ascii="Californian FB" w:hAnsi="Californian FB" w:cs="Times New Roman"/>
          <w:i/>
          <w:iCs/>
          <w:color w:val="000000"/>
          <w:sz w:val="24"/>
          <w:szCs w:val="24"/>
        </w:rPr>
        <w:t>post</w:t>
      </w:r>
      <w:r w:rsidRPr="004E7ED2">
        <w:rPr>
          <w:rFonts w:ascii="Californian FB" w:hAnsi="Californian FB" w:cs="Times New Roman"/>
          <w:color w:val="000000"/>
          <w:sz w:val="24"/>
          <w:szCs w:val="24"/>
        </w:rPr>
        <w:t>, at 16, Google’s Android platform was part of a distinct (and more advanced) market than Java software.</w:t>
      </w:r>
    </w:p>
    <w:p w14:paraId="617538D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913344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Looking to these important differences, Google’s economic expert told the jury that Android was not a market substitute for Java’s software. As he explained, “the two products are on very different devices,” and the Android platform, which offers “an entire mobile operating stack,” is a “very different </w:t>
      </w:r>
      <w:proofErr w:type="spellStart"/>
      <w:r w:rsidRPr="004E7ED2">
        <w:rPr>
          <w:rFonts w:ascii="Californian FB" w:hAnsi="Californian FB" w:cs="Times New Roman"/>
          <w:color w:val="000000"/>
          <w:sz w:val="24"/>
          <w:szCs w:val="24"/>
        </w:rPr>
        <w:t>typ</w:t>
      </w:r>
      <w:proofErr w:type="spellEnd"/>
      <w:r w:rsidRPr="004E7ED2">
        <w:rPr>
          <w:rFonts w:ascii="Californian FB" w:hAnsi="Californian FB" w:cs="Times New Roman"/>
          <w:color w:val="000000"/>
          <w:sz w:val="24"/>
          <w:szCs w:val="24"/>
        </w:rPr>
        <w:t xml:space="preserve">[e] of </w:t>
      </w:r>
      <w:proofErr w:type="spellStart"/>
      <w:r w:rsidRPr="004E7ED2">
        <w:rPr>
          <w:rFonts w:ascii="Californian FB" w:hAnsi="Californian FB" w:cs="Times New Roman"/>
          <w:color w:val="000000"/>
          <w:sz w:val="24"/>
          <w:szCs w:val="24"/>
        </w:rPr>
        <w:t>produc</w:t>
      </w:r>
      <w:proofErr w:type="spellEnd"/>
      <w:r w:rsidRPr="004E7ED2">
        <w:rPr>
          <w:rFonts w:ascii="Californian FB" w:hAnsi="Californian FB" w:cs="Times New Roman"/>
          <w:color w:val="000000"/>
          <w:sz w:val="24"/>
          <w:szCs w:val="24"/>
        </w:rPr>
        <w:t xml:space="preserve">[t]” than Java SE, which is “just an applications programming framework.” App. 256; see also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at 172–174. Taken together, the evidence showed that Sun’s mobile phone business was declining, while the market increasingly demanded a new form of smartphone technology that Sun was never able to offer.</w:t>
      </w:r>
    </w:p>
    <w:p w14:paraId="20C85D6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1B436A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Finally, the jury also heard evidence that Sun foresaw a benefit from the broader use of the Java programming language in a new platform like Android, as it would further expand the network of Java-trained programmers.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131–133; see also </w:t>
      </w:r>
      <w:r w:rsidRPr="004E7ED2">
        <w:rPr>
          <w:rFonts w:ascii="Californian FB" w:hAnsi="Californian FB" w:cs="Times New Roman"/>
          <w:i/>
          <w:iCs/>
          <w:color w:val="000000"/>
          <w:sz w:val="24"/>
          <w:szCs w:val="24"/>
        </w:rPr>
        <w:t>id.</w:t>
      </w:r>
      <w:r w:rsidRPr="004E7ED2">
        <w:rPr>
          <w:rFonts w:ascii="Californian FB" w:hAnsi="Californian FB" w:cs="Times New Roman"/>
          <w:color w:val="000000"/>
          <w:sz w:val="24"/>
          <w:szCs w:val="24"/>
        </w:rPr>
        <w:t xml:space="preserve">, at 153 (“Once an API starts getting reimplemented, you know it has succeeded”). In other words, the jury could have understood Android and Java SE as operating in two distinct markets. And because there are two markets at issue, programmers learning the Java language to work in one market (smartphones) are then able to bring those talents to the other market (laptops). See 4 </w:t>
      </w:r>
      <w:proofErr w:type="spellStart"/>
      <w:r w:rsidRPr="004E7ED2">
        <w:rPr>
          <w:rFonts w:ascii="Californian FB" w:hAnsi="Californian FB" w:cs="Times New Roman"/>
          <w:color w:val="000000"/>
          <w:sz w:val="24"/>
          <w:szCs w:val="24"/>
        </w:rPr>
        <w:t>Nimmer</w:t>
      </w:r>
      <w:proofErr w:type="spellEnd"/>
      <w:r w:rsidRPr="004E7ED2">
        <w:rPr>
          <w:rFonts w:ascii="Californian FB" w:hAnsi="Californian FB" w:cs="Times New Roman"/>
          <w:color w:val="000000"/>
          <w:sz w:val="24"/>
          <w:szCs w:val="24"/>
        </w:rPr>
        <w:t xml:space="preserve"> on Copyright § 13.05[A][4] (explaining that factor four asks what the impact of “widespread conduct of the sort engaged in by the defendant” would be on the market for the present work).</w:t>
      </w:r>
    </w:p>
    <w:p w14:paraId="39A240CC"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09CA38F" w14:textId="7949D472"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Oracle presented evidence to the contrary. Indeed, the Federal Circuit held that the “market effects” factor militated against fair use in part because Sun had tried to enter the Android market. </w:t>
      </w:r>
      <w:hyperlink r:id="rId77" w:anchor="co_pp_sp_506_1209" w:history="1">
        <w:r w:rsidRPr="004E7ED2">
          <w:rPr>
            <w:rFonts w:ascii="Californian FB" w:hAnsi="Californian FB" w:cs="Times New Roman"/>
            <w:color w:val="000000"/>
            <w:sz w:val="24"/>
            <w:szCs w:val="24"/>
          </w:rPr>
          <w:t>886 F.3d at 1209</w:t>
        </w:r>
      </w:hyperlink>
      <w:r w:rsidRPr="004E7ED2">
        <w:rPr>
          <w:rFonts w:ascii="Californian FB" w:hAnsi="Californian FB" w:cs="Times New Roman"/>
          <w:color w:val="000000"/>
          <w:sz w:val="24"/>
          <w:szCs w:val="24"/>
        </w:rPr>
        <w:t xml:space="preserve"> (Sun sought licensing agreement with Google). But those licensing negotiations concerned much more than 37 packages of declaring code, covering topics like “the implementation of [Java’s] code” and “branding and cooperation” between the firms. App. 245; see also 4 </w:t>
      </w:r>
      <w:proofErr w:type="spellStart"/>
      <w:r w:rsidRPr="004E7ED2">
        <w:rPr>
          <w:rFonts w:ascii="Californian FB" w:hAnsi="Californian FB" w:cs="Times New Roman"/>
          <w:color w:val="000000"/>
          <w:sz w:val="24"/>
          <w:szCs w:val="24"/>
        </w:rPr>
        <w:t>Nimmer</w:t>
      </w:r>
      <w:proofErr w:type="spellEnd"/>
      <w:r w:rsidRPr="004E7ED2">
        <w:rPr>
          <w:rFonts w:ascii="Californian FB" w:hAnsi="Californian FB" w:cs="Times New Roman"/>
          <w:color w:val="000000"/>
          <w:sz w:val="24"/>
          <w:szCs w:val="24"/>
        </w:rPr>
        <w:t xml:space="preserve"> on Copyright § 13.05[A][4] (cautioning against the “danger of circularity posed” by considering unrealized licensing opportunities because “it is a given in every fair use case that plaintiff suffers a loss of a </w:t>
      </w:r>
      <w:r w:rsidRPr="004E7ED2">
        <w:rPr>
          <w:rFonts w:ascii="Californian FB" w:hAnsi="Californian FB" w:cs="Times New Roman"/>
          <w:i/>
          <w:iCs/>
          <w:color w:val="000000"/>
          <w:sz w:val="24"/>
          <w:szCs w:val="24"/>
        </w:rPr>
        <w:t>potential</w:t>
      </w:r>
      <w:r w:rsidRPr="004E7ED2">
        <w:rPr>
          <w:rFonts w:ascii="Californian FB" w:hAnsi="Californian FB" w:cs="Times New Roman"/>
          <w:color w:val="000000"/>
          <w:sz w:val="24"/>
          <w:szCs w:val="24"/>
        </w:rPr>
        <w:t xml:space="preserve"> market if that potential is defined as the theoretical market for licensing the very use at bar”). In any event, the jury’s fair use determination means that neither Sun’s effort to obtain </w:t>
      </w:r>
      <w:proofErr w:type="gramStart"/>
      <w:r w:rsidRPr="004E7ED2">
        <w:rPr>
          <w:rFonts w:ascii="Californian FB" w:hAnsi="Californian FB" w:cs="Times New Roman"/>
          <w:color w:val="000000"/>
          <w:sz w:val="24"/>
          <w:szCs w:val="24"/>
        </w:rPr>
        <w:t>a license nor Oracle’s conflicting evidence</w:t>
      </w:r>
      <w:proofErr w:type="gramEnd"/>
      <w:r w:rsidRPr="004E7ED2">
        <w:rPr>
          <w:rFonts w:ascii="Californian FB" w:hAnsi="Californian FB" w:cs="Times New Roman"/>
          <w:color w:val="000000"/>
          <w:sz w:val="24"/>
          <w:szCs w:val="24"/>
        </w:rPr>
        <w:t xml:space="preserve"> can overcome evidence indicating that, at a minimum, it would have been difficult for Sun to enter the smartphone market, even had Google not used portions of the Sun Java API.</w:t>
      </w:r>
    </w:p>
    <w:p w14:paraId="343B696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648A1E9" w14:textId="206814F9"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On the other hand, Google’s copying helped Google make a vast amount of money from its Android platform. And enforcement of the Sun Java API copyright might give Oracle a significant share of these funds. It is important, however, to consider why and how Oracle might have become </w:t>
      </w:r>
      <w:bookmarkStart w:id="37" w:name="co_pp_sp_708_1208_1"/>
      <w:bookmarkEnd w:id="37"/>
      <w:r w:rsidRPr="004E7ED2">
        <w:rPr>
          <w:rFonts w:ascii="Californian FB" w:hAnsi="Californian FB" w:cs="Times New Roman"/>
          <w:color w:val="000000"/>
          <w:sz w:val="24"/>
          <w:szCs w:val="24"/>
        </w:rPr>
        <w:t xml:space="preserve">entitled to this money. When a new interface, like an API or a spreadsheet program, first comes on the market, it may attract new users because of its expressive qualities, such as a better visual screen or because of its superior functionality. As time passes, however, it may be valuable for a different reason, namely, because users, including programmers, are just used to it. They have already learned how to work with it. See </w:t>
      </w:r>
      <w:hyperlink r:id="rId78" w:anchor="co_pp_sp_506_821" w:history="1">
        <w:r w:rsidRPr="004E7ED2">
          <w:rPr>
            <w:rFonts w:ascii="Californian FB" w:hAnsi="Californian FB" w:cs="Times New Roman"/>
            <w:i/>
            <w:iCs/>
            <w:color w:val="000000"/>
            <w:sz w:val="24"/>
            <w:szCs w:val="24"/>
          </w:rPr>
          <w:t>Lotus Development Corp.</w:t>
        </w:r>
        <w:r w:rsidRPr="004E7ED2">
          <w:rPr>
            <w:rFonts w:ascii="Californian FB" w:hAnsi="Californian FB" w:cs="Times New Roman"/>
            <w:color w:val="000000"/>
            <w:sz w:val="24"/>
            <w:szCs w:val="24"/>
          </w:rPr>
          <w:t>, 49 F.3d at 821</w:t>
        </w:r>
      </w:hyperlink>
      <w:r w:rsidRPr="004E7ED2">
        <w:rPr>
          <w:rFonts w:ascii="Californian FB" w:hAnsi="Californian FB" w:cs="Times New Roman"/>
          <w:color w:val="000000"/>
          <w:sz w:val="24"/>
          <w:szCs w:val="24"/>
        </w:rPr>
        <w:t xml:space="preserve"> (BOUDIN, J., concurring).</w:t>
      </w:r>
    </w:p>
    <w:p w14:paraId="0B7858A4"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2ED3BC2" w14:textId="53F95C2A"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record here is filled with evidence that this factor accounts for Google’s desire to use the Sun Java API. See, </w:t>
      </w:r>
      <w:r w:rsidRPr="004E7ED2">
        <w:rPr>
          <w:rFonts w:ascii="Californian FB" w:hAnsi="Californian FB" w:cs="Times New Roman"/>
          <w:i/>
          <w:iCs/>
          <w:color w:val="000000"/>
          <w:sz w:val="24"/>
          <w:szCs w:val="24"/>
        </w:rPr>
        <w:t>e.g.,</w:t>
      </w:r>
      <w:r w:rsidRPr="004E7ED2">
        <w:rPr>
          <w:rFonts w:ascii="Californian FB" w:hAnsi="Californian FB" w:cs="Times New Roman"/>
          <w:color w:val="000000"/>
          <w:sz w:val="24"/>
          <w:szCs w:val="24"/>
        </w:rPr>
        <w:t xml:space="preserve"> App. 169–170, 213–214. This source of Android’s profitability has much to do with third parties’ (say, programmers’) investment in Sun Java programs. It has correspondingly </w:t>
      </w:r>
      <w:r w:rsidRPr="004E7ED2">
        <w:rPr>
          <w:rFonts w:ascii="Californian FB" w:hAnsi="Californian FB" w:cs="Times New Roman"/>
          <w:color w:val="000000"/>
          <w:sz w:val="24"/>
          <w:szCs w:val="24"/>
        </w:rPr>
        <w:lastRenderedPageBreak/>
        <w:t xml:space="preserve">less to do with Sun’s investment in creating the Sun Java API. We have no reason to believe that the Copyright Act seeks to protect third parties’ investment in learning how to operate a created work. Cf. </w:t>
      </w:r>
      <w:hyperlink r:id="rId79" w:anchor="co_pp_sp_780_591"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591–592,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(discussing the need to identify those harms that are “cognizable under the Copyright Act”).</w:t>
      </w:r>
    </w:p>
    <w:p w14:paraId="021A5374"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70031AD" w14:textId="55CC5799"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Finally, given programmers’ investment in learning the Sun Java API, to allow enforcement of Oracle’s copyright here would risk harm to the public. Given the costs and difficulties of producing alternative APIs with similar appeal to programmers, allowing enforcement here would make of the Sun Java API’s declaring code a lock limiting the future creativity of new programs. Oracle alone would hold the key. The result could well prove highly profitable to Oracle (or other firms holding a copyright in computer interfaces). But those profits could well flow from creative improvements, new applications, and new uses developed by users who have learned to work with that interface. To that extent, the lock would interfere with, not further, copyright’s basic creativity objectives. See </w:t>
      </w:r>
      <w:hyperlink r:id="rId80" w:anchor="co_pp_sp_506_607" w:history="1">
        <w:r w:rsidRPr="004E7ED2">
          <w:rPr>
            <w:rFonts w:ascii="Californian FB" w:hAnsi="Californian FB" w:cs="Times New Roman"/>
            <w:i/>
            <w:iCs/>
            <w:color w:val="000000"/>
            <w:sz w:val="24"/>
            <w:szCs w:val="24"/>
          </w:rPr>
          <w:t>Connectix Corp.</w:t>
        </w:r>
        <w:r w:rsidRPr="004E7ED2">
          <w:rPr>
            <w:rFonts w:ascii="Californian FB" w:hAnsi="Californian FB" w:cs="Times New Roman"/>
            <w:color w:val="000000"/>
            <w:sz w:val="24"/>
            <w:szCs w:val="24"/>
          </w:rPr>
          <w:t>, 203 F.3d at 607</w:t>
        </w:r>
      </w:hyperlink>
      <w:r w:rsidRPr="004E7ED2">
        <w:rPr>
          <w:rFonts w:ascii="Californian FB" w:hAnsi="Californian FB" w:cs="Times New Roman"/>
          <w:color w:val="000000"/>
          <w:sz w:val="24"/>
          <w:szCs w:val="24"/>
        </w:rPr>
        <w:t xml:space="preserve">; see also </w:t>
      </w:r>
      <w:hyperlink r:id="rId81" w:anchor="co_pp_sp_350_1523" w:history="1">
        <w:r w:rsidRPr="004E7ED2">
          <w:rPr>
            <w:rFonts w:ascii="Californian FB" w:hAnsi="Californian FB" w:cs="Times New Roman"/>
            <w:i/>
            <w:iCs/>
            <w:color w:val="000000"/>
            <w:sz w:val="24"/>
            <w:szCs w:val="24"/>
          </w:rPr>
          <w:t>Sega Enterprises</w:t>
        </w:r>
        <w:r w:rsidRPr="004E7ED2">
          <w:rPr>
            <w:rFonts w:ascii="Californian FB" w:hAnsi="Californian FB" w:cs="Times New Roman"/>
            <w:color w:val="000000"/>
            <w:sz w:val="24"/>
            <w:szCs w:val="24"/>
          </w:rPr>
          <w:t>, 977 F.2d at 1523–1524</w:t>
        </w:r>
      </w:hyperlink>
      <w:r w:rsidRPr="004E7ED2">
        <w:rPr>
          <w:rFonts w:ascii="Californian FB" w:hAnsi="Californian FB" w:cs="Times New Roman"/>
          <w:color w:val="000000"/>
          <w:sz w:val="24"/>
          <w:szCs w:val="24"/>
        </w:rPr>
        <w:t xml:space="preserve"> (“An attempt to monopolize the market by making it impossible for others to compete runs counter to the statutory purpose of promoting creative expression”); </w:t>
      </w:r>
      <w:hyperlink r:id="rId82" w:anchor="co_pp_sp_506_544" w:history="1">
        <w:r w:rsidRPr="004E7ED2">
          <w:rPr>
            <w:rFonts w:ascii="Californian FB" w:hAnsi="Californian FB" w:cs="Times New Roman"/>
            <w:i/>
            <w:iCs/>
            <w:color w:val="000000"/>
            <w:sz w:val="24"/>
            <w:szCs w:val="24"/>
          </w:rPr>
          <w:t>Lexmark Int’l</w:t>
        </w:r>
        <w:r w:rsidRPr="004E7ED2">
          <w:rPr>
            <w:rFonts w:ascii="Californian FB" w:hAnsi="Californian FB" w:cs="Times New Roman"/>
            <w:color w:val="000000"/>
            <w:sz w:val="24"/>
            <w:szCs w:val="24"/>
          </w:rPr>
          <w:t>, 387 F.3d at 544</w:t>
        </w:r>
      </w:hyperlink>
      <w:r w:rsidRPr="004E7ED2">
        <w:rPr>
          <w:rFonts w:ascii="Californian FB" w:hAnsi="Californian FB" w:cs="Times New Roman"/>
          <w:color w:val="000000"/>
          <w:sz w:val="24"/>
          <w:szCs w:val="24"/>
        </w:rPr>
        <w:t xml:space="preserve"> (noting that where a subsequent user copied a computer program to foster functionality, it was not exploiting the programs “commercial value </w:t>
      </w:r>
      <w:r w:rsidRPr="004E7ED2">
        <w:rPr>
          <w:rFonts w:ascii="Californian FB" w:hAnsi="Californian FB" w:cs="Times New Roman"/>
          <w:i/>
          <w:iCs/>
          <w:color w:val="000000"/>
          <w:sz w:val="24"/>
          <w:szCs w:val="24"/>
        </w:rPr>
        <w:t>as a copyrighted work</w:t>
      </w:r>
      <w:r w:rsidRPr="004E7ED2">
        <w:rPr>
          <w:rFonts w:ascii="Californian FB" w:hAnsi="Californian FB" w:cs="Times New Roman"/>
          <w:color w:val="000000"/>
          <w:sz w:val="24"/>
          <w:szCs w:val="24"/>
        </w:rPr>
        <w:t xml:space="preserve">” (emphasis in original)). After all, “copyright supplies the economic incentive to [both] create and disseminate ideas,” </w:t>
      </w:r>
      <w:hyperlink r:id="rId83" w:anchor="co_pp_sp_780_558" w:history="1">
        <w:r w:rsidRPr="004E7ED2">
          <w:rPr>
            <w:rFonts w:ascii="Californian FB" w:hAnsi="Californian FB" w:cs="Times New Roman"/>
            <w:i/>
            <w:iCs/>
            <w:color w:val="000000"/>
            <w:sz w:val="24"/>
            <w:szCs w:val="24"/>
          </w:rPr>
          <w:t>Harper &amp; Row</w:t>
        </w:r>
        <w:r w:rsidRPr="004E7ED2">
          <w:rPr>
            <w:rFonts w:ascii="Californian FB" w:hAnsi="Californian FB" w:cs="Times New Roman"/>
            <w:color w:val="000000"/>
            <w:sz w:val="24"/>
            <w:szCs w:val="24"/>
          </w:rPr>
          <w:t xml:space="preserve">, 471 U.S., at 558, 105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2218</w:t>
        </w:r>
      </w:hyperlink>
      <w:r w:rsidRPr="004E7ED2">
        <w:rPr>
          <w:rFonts w:ascii="Californian FB" w:hAnsi="Californian FB" w:cs="Times New Roman"/>
          <w:color w:val="000000"/>
          <w:sz w:val="24"/>
          <w:szCs w:val="24"/>
        </w:rPr>
        <w:t>, and the reimplementation of a user interface allows creative new computer code to more easily enter the market.</w:t>
      </w:r>
    </w:p>
    <w:p w14:paraId="6D7E9DF4"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D7E7DE5"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uncertain nature of Sun’s ability to compete in Android’s market place, the sources of its lost revenue, and the risk of creativity-related harms to the public, when taken together, convince that this fourth factor—market effects—also weighs in favor of fair use.</w:t>
      </w:r>
    </w:p>
    <w:p w14:paraId="68B0958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596545FE"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p>
    <w:p w14:paraId="1D3AF4F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79D4A3CF" w14:textId="6937BC11"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fact that computer programs are primarily functional makes it difficult to apply traditional copyright concepts in that technological world. See </w:t>
      </w:r>
      <w:hyperlink r:id="rId84" w:anchor="co_pp_sp_506_820" w:history="1">
        <w:r w:rsidRPr="004E7ED2">
          <w:rPr>
            <w:rFonts w:ascii="Californian FB" w:hAnsi="Californian FB" w:cs="Times New Roman"/>
            <w:i/>
            <w:iCs/>
            <w:color w:val="000000"/>
            <w:sz w:val="24"/>
            <w:szCs w:val="24"/>
          </w:rPr>
          <w:t>Lotus Development Corp.</w:t>
        </w:r>
        <w:r w:rsidRPr="004E7ED2">
          <w:rPr>
            <w:rFonts w:ascii="Californian FB" w:hAnsi="Californian FB" w:cs="Times New Roman"/>
            <w:color w:val="000000"/>
            <w:sz w:val="24"/>
            <w:szCs w:val="24"/>
          </w:rPr>
          <w:t>, 49 F.3d at 820</w:t>
        </w:r>
      </w:hyperlink>
      <w:r w:rsidRPr="004E7ED2">
        <w:rPr>
          <w:rFonts w:ascii="Californian FB" w:hAnsi="Californian FB" w:cs="Times New Roman"/>
          <w:color w:val="000000"/>
          <w:sz w:val="24"/>
          <w:szCs w:val="24"/>
        </w:rPr>
        <w:t xml:space="preserve"> (BOUDIN, J., concurring). In doing so here, we have not changed the nature of those concepts. We do not overturn or modify our earlier cases involving fair use—cases, for example, that involve “knockoff” products, journalistic writings, and parodies. Rather, we here recognize that application of a copyright doctrine such as fair use has long proved a cooperative effort of Legislatures and courts, and that Congress, in our view, intended that it so continue. As such, we have looked to the principles set forth in the fair use statute, </w:t>
      </w:r>
      <w:hyperlink r:id="rId85" w:history="1">
        <w:r w:rsidRPr="004E7ED2">
          <w:rPr>
            <w:rFonts w:ascii="Californian FB" w:hAnsi="Californian FB" w:cs="Times New Roman"/>
            <w:color w:val="000000"/>
            <w:sz w:val="24"/>
            <w:szCs w:val="24"/>
          </w:rPr>
          <w:t>§ 107</w:t>
        </w:r>
      </w:hyperlink>
      <w:r w:rsidRPr="004E7ED2">
        <w:rPr>
          <w:rFonts w:ascii="Californian FB" w:hAnsi="Californian FB" w:cs="Times New Roman"/>
          <w:color w:val="000000"/>
          <w:sz w:val="24"/>
          <w:szCs w:val="24"/>
        </w:rPr>
        <w:t xml:space="preserve">, and set forth in </w:t>
      </w:r>
      <w:bookmarkStart w:id="38" w:name="co_pp_sp_708_1209_1"/>
      <w:bookmarkEnd w:id="38"/>
      <w:r w:rsidRPr="004E7ED2">
        <w:rPr>
          <w:rFonts w:ascii="Californian FB" w:hAnsi="Californian FB" w:cs="Times New Roman"/>
          <w:color w:val="000000"/>
          <w:sz w:val="24"/>
          <w:szCs w:val="24"/>
        </w:rPr>
        <w:t>our earlier cases, and applied them to this different kind of copyrighted work.</w:t>
      </w:r>
    </w:p>
    <w:p w14:paraId="6D9D349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2F81A9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We reach the conclusion that in this case, where Google reimplemented a user interface, taking only what was needed to allow users to put their accrued talents to work in a new and transformative program, Google’s copying of the Sun Java API was a fair use of that material as a matter of law. The Federal Circuit’s contrary judgment is reversed, and the case is remanded for further proceedings in conformity with this opinion.</w:t>
      </w:r>
    </w:p>
    <w:p w14:paraId="4321E01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059D964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It is so ordered.</w:t>
      </w:r>
    </w:p>
    <w:p w14:paraId="099B4B82"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25AC7DAA" w14:textId="1A36D6A8"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Justice </w:t>
      </w:r>
      <w:hyperlink r:id="rId86" w:history="1">
        <w:r w:rsidRPr="004E7ED2">
          <w:rPr>
            <w:rFonts w:ascii="Californian FB" w:hAnsi="Californian FB" w:cs="Times New Roman"/>
            <w:color w:val="000000"/>
            <w:sz w:val="24"/>
            <w:szCs w:val="24"/>
          </w:rPr>
          <w:t>BARRETT</w:t>
        </w:r>
      </w:hyperlink>
      <w:r w:rsidRPr="004E7ED2">
        <w:rPr>
          <w:rFonts w:ascii="Californian FB" w:hAnsi="Californian FB" w:cs="Times New Roman"/>
          <w:color w:val="000000"/>
          <w:sz w:val="24"/>
          <w:szCs w:val="24"/>
        </w:rPr>
        <w:t xml:space="preserve"> took no part in the consideration or decision of this case.</w:t>
      </w:r>
    </w:p>
    <w:p w14:paraId="655DA884"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621ABB4E" w14:textId="55AF8A8C" w:rsidR="008D2F50" w:rsidRPr="004E7ED2" w:rsidRDefault="008D2F50" w:rsidP="008D2F50">
      <w:pPr>
        <w:widowControl w:val="0"/>
        <w:autoSpaceDE w:val="0"/>
        <w:autoSpaceDN w:val="0"/>
        <w:adjustRightInd w:val="0"/>
        <w:spacing w:after="0" w:line="240" w:lineRule="auto"/>
        <w:rPr>
          <w:rFonts w:ascii="Californian FB" w:hAnsi="Californian FB" w:cs="Times New Roman"/>
          <w:color w:val="000000"/>
          <w:sz w:val="24"/>
          <w:szCs w:val="24"/>
        </w:rPr>
      </w:pPr>
      <w:bookmarkStart w:id="39" w:name="co_anchor_I1bc8fe12cdd411eba03e924a66164"/>
      <w:bookmarkEnd w:id="39"/>
      <w:r w:rsidRPr="004E7ED2">
        <w:rPr>
          <w:rFonts w:ascii="Californian FB" w:hAnsi="Californian FB" w:cs="Times New Roman"/>
          <w:color w:val="000000"/>
          <w:sz w:val="24"/>
          <w:szCs w:val="24"/>
        </w:rPr>
        <w:t xml:space="preserve">Justice </w:t>
      </w:r>
      <w:hyperlink r:id="rId87" w:history="1">
        <w:r w:rsidRPr="004E7ED2">
          <w:rPr>
            <w:rFonts w:ascii="Californian FB" w:hAnsi="Californian FB" w:cs="Times New Roman"/>
            <w:color w:val="000000"/>
            <w:sz w:val="24"/>
            <w:szCs w:val="24"/>
          </w:rPr>
          <w:t>THOMAS</w:t>
        </w:r>
      </w:hyperlink>
      <w:r w:rsidRPr="004E7ED2">
        <w:rPr>
          <w:rFonts w:ascii="Californian FB" w:hAnsi="Californian FB" w:cs="Times New Roman"/>
          <w:color w:val="000000"/>
          <w:sz w:val="24"/>
          <w:szCs w:val="24"/>
        </w:rPr>
        <w:t xml:space="preserve">, with whom Justice </w:t>
      </w:r>
      <w:hyperlink r:id="rId88" w:history="1">
        <w:r w:rsidRPr="004E7ED2">
          <w:rPr>
            <w:rFonts w:ascii="Californian FB" w:hAnsi="Californian FB" w:cs="Times New Roman"/>
            <w:color w:val="000000"/>
            <w:sz w:val="24"/>
            <w:szCs w:val="24"/>
          </w:rPr>
          <w:t>ALITO</w:t>
        </w:r>
      </w:hyperlink>
      <w:r w:rsidRPr="004E7ED2">
        <w:rPr>
          <w:rFonts w:ascii="Californian FB" w:hAnsi="Californian FB" w:cs="Times New Roman"/>
          <w:color w:val="000000"/>
          <w:sz w:val="24"/>
          <w:szCs w:val="24"/>
        </w:rPr>
        <w:t xml:space="preserve"> joins, dissenting.</w:t>
      </w:r>
    </w:p>
    <w:p w14:paraId="36907C3F"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40" w:name="co_anchor_I1bcaabc4cdd411eba03e924a66164"/>
      <w:bookmarkEnd w:id="40"/>
    </w:p>
    <w:p w14:paraId="5FFB5FB7"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41" w:name="_Hlk78487162"/>
      <w:r w:rsidRPr="004E7ED2">
        <w:rPr>
          <w:rFonts w:ascii="Californian FB" w:hAnsi="Californian FB" w:cs="Times New Roman"/>
          <w:color w:val="000000"/>
          <w:sz w:val="24"/>
          <w:szCs w:val="24"/>
        </w:rPr>
        <w:t>Oracle spent years developing a programming library that successfully attracted software developers</w:t>
      </w:r>
      <w:bookmarkEnd w:id="41"/>
      <w:r w:rsidRPr="004E7ED2">
        <w:rPr>
          <w:rFonts w:ascii="Californian FB" w:hAnsi="Californian FB" w:cs="Times New Roman"/>
          <w:color w:val="000000"/>
          <w:sz w:val="24"/>
          <w:szCs w:val="24"/>
        </w:rPr>
        <w:t xml:space="preserve">, </w:t>
      </w:r>
      <w:bookmarkStart w:id="42" w:name="_Hlk78489782"/>
      <w:r w:rsidRPr="004E7ED2">
        <w:rPr>
          <w:rFonts w:ascii="Californian FB" w:hAnsi="Californian FB" w:cs="Times New Roman"/>
          <w:color w:val="000000"/>
          <w:sz w:val="24"/>
          <w:szCs w:val="24"/>
        </w:rPr>
        <w:t>thus enhancing the value of Oracle’s products</w:t>
      </w:r>
      <w:bookmarkEnd w:id="42"/>
      <w:r w:rsidRPr="004E7ED2">
        <w:rPr>
          <w:rFonts w:ascii="Californian FB" w:hAnsi="Californian FB" w:cs="Times New Roman"/>
          <w:color w:val="000000"/>
          <w:sz w:val="24"/>
          <w:szCs w:val="24"/>
        </w:rPr>
        <w:t>.</w:t>
      </w:r>
      <w:bookmarkStart w:id="43" w:name="co_fnRef_B00022053376261_ID0EP4AK_1"/>
      <w:bookmarkEnd w:id="43"/>
      <w:r w:rsidRPr="004E7ED2">
        <w:rPr>
          <w:rFonts w:ascii="Californian FB" w:hAnsi="Californian FB" w:cs="Times New Roman"/>
          <w:color w:val="000000"/>
          <w:sz w:val="24"/>
          <w:szCs w:val="24"/>
        </w:rPr>
        <w:t xml:space="preserve"> Google sought a license to use the library in Android, the operating system it was developing for mobile phones. But when the companies could not agree on terms, Google simply copied verbatim 11,500 lines of code from the library. As a result, it erased 97.5% of </w:t>
      </w:r>
      <w:bookmarkStart w:id="44" w:name="co_pp_sp_708_1211_1"/>
      <w:bookmarkEnd w:id="44"/>
      <w:r w:rsidRPr="004E7ED2">
        <w:rPr>
          <w:rFonts w:ascii="Californian FB" w:hAnsi="Californian FB" w:cs="Times New Roman"/>
          <w:color w:val="000000"/>
          <w:sz w:val="24"/>
          <w:szCs w:val="24"/>
        </w:rPr>
        <w:t>the value of Oracle’s partnership with Amazon, made tens of billions of dollars, and established its position as the owner of the largest mobile operating system in the world. Despite this, the majority holds that this copying was fair use.</w:t>
      </w:r>
    </w:p>
    <w:p w14:paraId="4993DFB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48FA99C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Court reaches this unlikely result in large part because it bypasses the antecedent question clearly before us: Is the software code at issue here protected by the Copyright Act? The majority purports to assume, without deciding, that the code is protected. But its fair-use analysis is wholly inconsistent with the substantial protection Congress gave to computer code. By skipping over the copyrightability question, the majority disregards half the relevant statutory text and distorts its fair-use analysis. Properly considering that statutory text, Oracle’s code at issue here is copyrightable, and Google’s use of that copyrighted code was anything but fair.</w:t>
      </w:r>
    </w:p>
    <w:p w14:paraId="50EAD59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3A31B2F2"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bookmarkStart w:id="45" w:name="co_anchor_I1bcbbd31cdd411eba03e924a66164"/>
      <w:bookmarkEnd w:id="45"/>
      <w:r w:rsidRPr="004E7ED2">
        <w:rPr>
          <w:rFonts w:ascii="Californian FB" w:hAnsi="Californian FB" w:cs="Times New Roman"/>
          <w:color w:val="000000"/>
          <w:sz w:val="24"/>
          <w:szCs w:val="24"/>
        </w:rPr>
        <w:t>* * * *</w:t>
      </w:r>
    </w:p>
    <w:p w14:paraId="41ABA95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bookmarkStart w:id="46" w:name="co_anchor_I1bceca71cdd411eba03e924a66164"/>
      <w:bookmarkEnd w:id="46"/>
    </w:p>
    <w:p w14:paraId="718CD382" w14:textId="77777777" w:rsidR="008D2F50" w:rsidRPr="004E7ED2" w:rsidRDefault="008D2F50" w:rsidP="00B40918">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II</w:t>
      </w:r>
    </w:p>
    <w:p w14:paraId="429B1F0F"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p>
    <w:p w14:paraId="54034D9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Court wrongly sidesteps the principal question that we were asked to answer: Is declaring code protected by copyright? I would hold that it is.</w:t>
      </w:r>
    </w:p>
    <w:p w14:paraId="1DC4EDE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6E79268"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Computer code occupies a unique space in intellectual property. Copyright law generally protects works of authorship. Patent law generally protects inventions or discoveries. A library of code straddles these two categories. It is highly functional like an invention; yet as a writing, it is also a work of authorship. Faced with something that could fit in either space, Congress chose copyright, and it included declaring code in that protection.</w:t>
      </w:r>
    </w:p>
    <w:p w14:paraId="1CE8714E"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[Justice Thomas concludes that declaring code is an original work of authorship that is not excluded as a “method of operation,” nor by the merger doctrine.] </w:t>
      </w:r>
      <w:bookmarkStart w:id="47" w:name="co_anchor_I1bd35e51cdd411eba03e924a66164"/>
      <w:bookmarkEnd w:id="47"/>
    </w:p>
    <w:p w14:paraId="1C4F88CB" w14:textId="77777777" w:rsidR="008D2F50" w:rsidRPr="004E7ED2" w:rsidRDefault="008D2F50" w:rsidP="00B40918">
      <w:pPr>
        <w:widowControl w:val="0"/>
        <w:autoSpaceDE w:val="0"/>
        <w:autoSpaceDN w:val="0"/>
        <w:adjustRightInd w:val="0"/>
        <w:spacing w:before="120" w:after="12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III</w:t>
      </w:r>
    </w:p>
    <w:p w14:paraId="323F83DA"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p>
    <w:p w14:paraId="49B20D33" w14:textId="4A6308D5" w:rsidR="008D2F50" w:rsidRPr="004E7ED2" w:rsidRDefault="008D2F50" w:rsidP="00B40918">
      <w:pPr>
        <w:widowControl w:val="0"/>
        <w:autoSpaceDE w:val="0"/>
        <w:autoSpaceDN w:val="0"/>
        <w:adjustRightInd w:val="0"/>
        <w:spacing w:after="12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Congress has established four statutory fair-use factors for courts to weigh.</w:t>
      </w:r>
      <w:bookmarkStart w:id="48" w:name="co_fnRef_B00052053376261_ID0E35BK_1"/>
      <w:bookmarkEnd w:id="48"/>
      <w:r w:rsidRPr="004E7ED2">
        <w:rPr>
          <w:rFonts w:ascii="Californian FB" w:hAnsi="Californian FB" w:cs="Times New Roman"/>
          <w:color w:val="000000"/>
          <w:sz w:val="24"/>
          <w:szCs w:val="24"/>
        </w:rPr>
        <w:fldChar w:fldCharType="begin"/>
      </w:r>
      <w:r w:rsidRPr="004E7ED2">
        <w:rPr>
          <w:rFonts w:ascii="Californian FB" w:hAnsi="Californian FB" w:cs="Times New Roman"/>
          <w:color w:val="000000"/>
          <w:sz w:val="24"/>
          <w:szCs w:val="24"/>
        </w:rPr>
        <w:instrText xml:space="preserve">HYPERLINK "#co_footnote_B00052053376261_1" </w:instrText>
      </w:r>
      <w:r w:rsidRPr="004E7ED2">
        <w:rPr>
          <w:rFonts w:ascii="Californian FB" w:hAnsi="Californian FB" w:cs="Times New Roman"/>
          <w:color w:val="000000"/>
          <w:sz w:val="24"/>
          <w:szCs w:val="24"/>
        </w:rPr>
        <w:fldChar w:fldCharType="separate"/>
      </w:r>
      <w:r w:rsidRPr="004E7ED2">
        <w:rPr>
          <w:rFonts w:ascii="Californian FB" w:hAnsi="Californian FB" w:cs="Times New Roman"/>
          <w:color w:val="000000"/>
          <w:sz w:val="24"/>
          <w:szCs w:val="24"/>
          <w:vertAlign w:val="superscript"/>
        </w:rPr>
        <w:t>4</w:t>
      </w:r>
      <w:r w:rsidRPr="004E7ED2">
        <w:rPr>
          <w:rFonts w:ascii="Californian FB" w:hAnsi="Californian FB" w:cs="Times New Roman"/>
          <w:color w:val="000000"/>
          <w:sz w:val="24"/>
          <w:szCs w:val="24"/>
        </w:rPr>
        <w:fldChar w:fldCharType="end"/>
      </w:r>
      <w:r w:rsidRPr="004E7ED2">
        <w:rPr>
          <w:rFonts w:ascii="Californian FB" w:hAnsi="Californian FB" w:cs="Times New Roman"/>
          <w:color w:val="000000"/>
          <w:sz w:val="24"/>
          <w:szCs w:val="24"/>
        </w:rPr>
        <w:t xml:space="preserve"> Three decisively favor Oracle. And even assuming that the remaining factor favors Google, that factor, without more, cannot legally establish fair use in this context.</w:t>
      </w:r>
    </w:p>
    <w:p w14:paraId="4EB1308C"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bookmarkStart w:id="49" w:name="co_footnote_B00052053376261_1"/>
      <w:bookmarkStart w:id="50" w:name="co_anchor_I1bd6e0c1cdd411eba03e924a66164"/>
      <w:bookmarkEnd w:id="49"/>
      <w:bookmarkEnd w:id="50"/>
    </w:p>
    <w:p w14:paraId="66F3C7A0" w14:textId="77777777" w:rsidR="008D2F50" w:rsidRPr="004E7ED2" w:rsidRDefault="008D2F50" w:rsidP="008D2F50">
      <w:pPr>
        <w:widowControl w:val="0"/>
        <w:autoSpaceDE w:val="0"/>
        <w:autoSpaceDN w:val="0"/>
        <w:adjustRightInd w:val="0"/>
        <w:spacing w:after="12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A. The Nature of the Copyrighted Work</w:t>
      </w:r>
    </w:p>
    <w:p w14:paraId="0ED9C529" w14:textId="6EFD1874" w:rsidR="0058463A" w:rsidRDefault="0058463A" w:rsidP="00AB7809">
      <w:pPr>
        <w:widowControl w:val="0"/>
        <w:autoSpaceDE w:val="0"/>
        <w:autoSpaceDN w:val="0"/>
        <w:adjustRightInd w:val="0"/>
        <w:spacing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1A3EF0DB" w14:textId="1AC77FF6"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The Copyright Act protects code that operates “in a computer in order to bring about a certain result” both “directly” (implementing code) and “indirectly” (declaring code). </w:t>
      </w:r>
      <w:hyperlink r:id="rId89" w:history="1">
        <w:r w:rsidRPr="004E7ED2">
          <w:rPr>
            <w:rFonts w:ascii="Californian FB" w:hAnsi="Californian FB" w:cs="Times New Roman"/>
            <w:color w:val="000000"/>
            <w:sz w:val="24"/>
            <w:szCs w:val="24"/>
          </w:rPr>
          <w:t>§ 101</w:t>
        </w:r>
      </w:hyperlink>
      <w:r w:rsidRPr="004E7ED2">
        <w:rPr>
          <w:rFonts w:ascii="Californian FB" w:hAnsi="Californian FB" w:cs="Times New Roman"/>
          <w:color w:val="000000"/>
          <w:sz w:val="24"/>
          <w:szCs w:val="24"/>
        </w:rPr>
        <w:t xml:space="preserve">. And if anything, declaring code is </w:t>
      </w:r>
      <w:r w:rsidRPr="004E7ED2">
        <w:rPr>
          <w:rFonts w:ascii="Californian FB" w:hAnsi="Californian FB" w:cs="Times New Roman"/>
          <w:i/>
          <w:iCs/>
          <w:color w:val="000000"/>
          <w:sz w:val="24"/>
          <w:szCs w:val="24"/>
        </w:rPr>
        <w:t>closer</w:t>
      </w:r>
      <w:r w:rsidRPr="004E7ED2">
        <w:rPr>
          <w:rFonts w:ascii="Californian FB" w:hAnsi="Californian FB" w:cs="Times New Roman"/>
          <w:color w:val="000000"/>
          <w:sz w:val="24"/>
          <w:szCs w:val="24"/>
        </w:rPr>
        <w:t xml:space="preserve"> to the “core of copyright.”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1202 – 1203. Developers cannot even see implementing code. </w:t>
      </w:r>
      <w:hyperlink r:id="rId90" w:history="1">
        <w:r w:rsidRPr="004E7ED2">
          <w:rPr>
            <w:rFonts w:ascii="Californian FB" w:hAnsi="Californian FB" w:cs="Times New Roman"/>
            <w:i/>
            <w:iCs/>
            <w:color w:val="000000"/>
            <w:sz w:val="24"/>
            <w:szCs w:val="24"/>
          </w:rPr>
          <w:t>Oracle Am., Inc. v. Google Inc.</w:t>
        </w:r>
        <w:r w:rsidRPr="004E7ED2">
          <w:rPr>
            <w:rFonts w:ascii="Californian FB" w:hAnsi="Californian FB" w:cs="Times New Roman"/>
            <w:color w:val="000000"/>
            <w:sz w:val="24"/>
            <w:szCs w:val="24"/>
          </w:rPr>
          <w:t xml:space="preserve">, 2016 WL 3181206, *4 (ND Cal., June 8, </w:t>
        </w:r>
        <w:r w:rsidRPr="004E7ED2">
          <w:rPr>
            <w:rFonts w:ascii="Californian FB" w:hAnsi="Californian FB" w:cs="Times New Roman"/>
            <w:color w:val="000000"/>
            <w:sz w:val="24"/>
            <w:szCs w:val="24"/>
          </w:rPr>
          <w:lastRenderedPageBreak/>
          <w:t>2016)</w:t>
        </w:r>
      </w:hyperlink>
      <w:r w:rsidRPr="004E7ED2">
        <w:rPr>
          <w:rFonts w:ascii="Californian FB" w:hAnsi="Californian FB" w:cs="Times New Roman"/>
          <w:color w:val="000000"/>
          <w:sz w:val="24"/>
          <w:szCs w:val="24"/>
        </w:rPr>
        <w:t xml:space="preserve">; see also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1201 – 1202 (declaring code is “user-centered”). Implementing code thus conveys </w:t>
      </w:r>
      <w:r w:rsidRPr="004E7ED2">
        <w:rPr>
          <w:rFonts w:ascii="Californian FB" w:hAnsi="Californian FB" w:cs="Times New Roman"/>
          <w:i/>
          <w:iCs/>
          <w:color w:val="000000"/>
          <w:sz w:val="24"/>
          <w:szCs w:val="24"/>
        </w:rPr>
        <w:t>no</w:t>
      </w:r>
      <w:r w:rsidRPr="004E7ED2">
        <w:rPr>
          <w:rFonts w:ascii="Californian FB" w:hAnsi="Californian FB" w:cs="Times New Roman"/>
          <w:color w:val="000000"/>
          <w:sz w:val="24"/>
          <w:szCs w:val="24"/>
        </w:rPr>
        <w:t xml:space="preserve"> expression to developers. Declaring code, in contrast, is user facing. It must be designed and organized in a way that is intuitive and understandable to developers so that they can invoke it.</w:t>
      </w:r>
    </w:p>
    <w:p w14:paraId="7BAABCC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1A65A5EA" w14:textId="77777777" w:rsidR="00B4127D"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Even setting those concerns aside, the majority’s distinction is untenable. True, declaring code is “inherently bound together with uncopyrightable ideas.”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1201 – 1203. Is anything not? Books are inherently bound with uncopyrightable ideas—the use of chapters, having a plot, or including dialogue or footnotes. </w:t>
      </w:r>
    </w:p>
    <w:p w14:paraId="73A1172A" w14:textId="77777777" w:rsidR="00B4127D" w:rsidRDefault="00B4127D"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48B89C68" w14:textId="77777777" w:rsidR="00B4127D" w:rsidRDefault="00B4127D" w:rsidP="00B4127D">
      <w:pPr>
        <w:widowControl w:val="0"/>
        <w:autoSpaceDE w:val="0"/>
        <w:autoSpaceDN w:val="0"/>
        <w:adjustRightInd w:val="0"/>
        <w:spacing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6017FE9F" w14:textId="75698EFA" w:rsidR="008D2F50" w:rsidRPr="004E7ED2" w:rsidRDefault="008D2F50" w:rsidP="00B4127D">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1413F18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51" w:name="_Hlk78486986"/>
      <w:r w:rsidRPr="004E7ED2">
        <w:rPr>
          <w:rFonts w:ascii="Californian FB" w:hAnsi="Californian FB" w:cs="Times New Roman"/>
          <w:color w:val="000000"/>
          <w:sz w:val="24"/>
          <w:szCs w:val="24"/>
        </w:rPr>
        <w:t>Similarly, it makes no difference that the value of declaring code depends on how much time third parties invest in learning it. Many other copyrighted works depend on the same. A Broadway musical script needs actors and singers to invest time learning and rehearsing it. But a theater cannot copy a script—the rights to which are held by a smaller theater—simply because it wants to entice actors to switch theaters and because copying the script is more efficient than requiring the actors to learn a new one.</w:t>
      </w:r>
    </w:p>
    <w:bookmarkEnd w:id="51"/>
    <w:p w14:paraId="5C25CAF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0E765E7"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bookmarkStart w:id="52" w:name="co_anchor_I1bda6331cdd411eba03e924a66164"/>
      <w:bookmarkEnd w:id="52"/>
    </w:p>
    <w:p w14:paraId="1E03A422" w14:textId="77777777" w:rsidR="008D2F50" w:rsidRPr="004E7ED2" w:rsidRDefault="008D2F50" w:rsidP="008D2F50">
      <w:pPr>
        <w:widowControl w:val="0"/>
        <w:autoSpaceDE w:val="0"/>
        <w:autoSpaceDN w:val="0"/>
        <w:adjustRightInd w:val="0"/>
        <w:spacing w:after="12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B. Market Effects</w:t>
      </w:r>
    </w:p>
    <w:p w14:paraId="042D18A3" w14:textId="24D6454F" w:rsidR="00B4127D" w:rsidRDefault="00B4127D" w:rsidP="00AB7809">
      <w:pPr>
        <w:widowControl w:val="0"/>
        <w:autoSpaceDE w:val="0"/>
        <w:autoSpaceDN w:val="0"/>
        <w:adjustRightInd w:val="0"/>
        <w:spacing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76BA00B7" w14:textId="77777777" w:rsidR="00B4127D" w:rsidRDefault="00B4127D"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0CBC6C6B" w14:textId="54666192"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By copying Oracle’s code to develop and release Android, Google ruined Oracle’s potential market in at least two ways.</w:t>
      </w:r>
    </w:p>
    <w:p w14:paraId="339803F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69DCCBF5" w14:textId="6E636305" w:rsidR="008D2F50"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First, Google eliminated the reason manufacturers were willing to pay to install the Java platform. Google’s business model differed from Oracle’s. While Oracle earned revenue by charging device manufacturers to install the Java platform, Google obtained revenue primarily through ad sales. Its strategy was to release Android to device manufacturers for free and then use Android as a vehicle to collect data on consumers and deliver behavioral ads. With a free product available that included much of Oracle’s code (and thus with similar programming potential), device manufacturers no longer saw much reason to pay to embed the Java platform.</w:t>
      </w:r>
    </w:p>
    <w:p w14:paraId="75DAB2F8" w14:textId="6210D38C" w:rsidR="00B4127D" w:rsidRDefault="00B4127D"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3A907AA6" w14:textId="279B1B2B" w:rsidR="00B4127D" w:rsidRPr="004E7ED2" w:rsidRDefault="00B4127D" w:rsidP="00AB7809">
      <w:pPr>
        <w:widowControl w:val="0"/>
        <w:autoSpaceDE w:val="0"/>
        <w:autoSpaceDN w:val="0"/>
        <w:adjustRightInd w:val="0"/>
        <w:spacing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76D6BE0B" w14:textId="6B522015"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Second, Google interfered with opportunities for Oracle to license the Java platform </w:t>
      </w:r>
      <w:bookmarkStart w:id="53" w:name="co_pp_sp_708_1217_1"/>
      <w:bookmarkEnd w:id="53"/>
      <w:r w:rsidRPr="004E7ED2">
        <w:rPr>
          <w:rFonts w:ascii="Californian FB" w:hAnsi="Californian FB" w:cs="Times New Roman"/>
          <w:color w:val="000000"/>
          <w:sz w:val="24"/>
          <w:szCs w:val="24"/>
        </w:rPr>
        <w:t xml:space="preserve">to developers of smartphone operating systems. Before Google copied Oracle’s code, nearly every mobile phone on the market contained the Java platform. Oracle’s code was extraordinarily valuable to anybody who wanted to develop smartphones, which explains why Google tried no fewer than four times to license </w:t>
      </w:r>
      <w:proofErr w:type="gramStart"/>
      <w:r w:rsidRPr="004E7ED2">
        <w:rPr>
          <w:rFonts w:ascii="Californian FB" w:hAnsi="Californian FB" w:cs="Times New Roman"/>
          <w:color w:val="000000"/>
          <w:sz w:val="24"/>
          <w:szCs w:val="24"/>
        </w:rPr>
        <w:t>it.</w:t>
      </w:r>
      <w:r w:rsidR="00B4127D">
        <w:rPr>
          <w:rFonts w:ascii="Californian FB" w:hAnsi="Californian FB" w:cs="Times New Roman"/>
          <w:color w:val="000000"/>
          <w:sz w:val="24"/>
          <w:szCs w:val="24"/>
        </w:rPr>
        <w:t>. . .</w:t>
      </w:r>
      <w:proofErr w:type="gramEnd"/>
      <w:r w:rsidR="00B4127D">
        <w:rPr>
          <w:rFonts w:ascii="Californian FB" w:hAnsi="Californian FB" w:cs="Times New Roman"/>
          <w:color w:val="000000"/>
          <w:sz w:val="24"/>
          <w:szCs w:val="24"/>
        </w:rPr>
        <w:t xml:space="preserve"> </w:t>
      </w:r>
      <w:r w:rsidRPr="004E7ED2">
        <w:rPr>
          <w:rFonts w:ascii="Californian FB" w:hAnsi="Californian FB" w:cs="Times New Roman"/>
          <w:color w:val="000000"/>
          <w:sz w:val="24"/>
          <w:szCs w:val="24"/>
        </w:rPr>
        <w:t>. But by copying the code and releasing Android, Google eliminated Oracle’s opportunity to license its code for that use.</w:t>
      </w:r>
    </w:p>
    <w:p w14:paraId="2745B0B2"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7986A84" w14:textId="7284B62A" w:rsidR="008D2F50"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The majority writes off this harm by saying that the jury could have found that Oracle might not have been able to enter the modern smartphone market successfully.</w:t>
      </w:r>
      <w:bookmarkStart w:id="54" w:name="co_fnRef_B00082053376261_ID0E2ZCK_1"/>
      <w:bookmarkEnd w:id="54"/>
      <w:r w:rsidRPr="004E7ED2">
        <w:rPr>
          <w:rFonts w:ascii="Californian FB" w:hAnsi="Californian FB" w:cs="Times New Roman"/>
          <w:color w:val="000000"/>
          <w:sz w:val="24"/>
          <w:szCs w:val="24"/>
        </w:rPr>
        <w:t xml:space="preserve">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1206 – 1207. But whether Oracle could itself enter that market is only half the picture. We look at not only the potential market “that creators of original works would in general develop” but also those </w:t>
      </w:r>
      <w:r w:rsidRPr="004E7ED2">
        <w:rPr>
          <w:rFonts w:ascii="Californian FB" w:hAnsi="Californian FB" w:cs="Times New Roman"/>
          <w:color w:val="000000"/>
          <w:sz w:val="24"/>
          <w:szCs w:val="24"/>
        </w:rPr>
        <w:lastRenderedPageBreak/>
        <w:t xml:space="preserve">potential markets the copyright holder might “license others to develop.” </w:t>
      </w:r>
      <w:hyperlink r:id="rId91" w:anchor="co_pp_sp_780_592" w:history="1">
        <w:r w:rsidRPr="004E7ED2">
          <w:rPr>
            <w:rFonts w:ascii="Californian FB" w:hAnsi="Californian FB" w:cs="Times New Roman"/>
            <w:i/>
            <w:iCs/>
            <w:color w:val="000000"/>
            <w:sz w:val="24"/>
            <w:szCs w:val="24"/>
          </w:rPr>
          <w:t>Campbell v. Acuff-Rose Music, Inc.</w:t>
        </w:r>
        <w:r w:rsidRPr="004E7ED2">
          <w:rPr>
            <w:rFonts w:ascii="Californian FB" w:hAnsi="Californian FB" w:cs="Times New Roman"/>
            <w:color w:val="000000"/>
            <w:sz w:val="24"/>
            <w:szCs w:val="24"/>
          </w:rPr>
          <w:t xml:space="preserve">, 510 U.S. 569, 592,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 127 L.Ed.2d 500 (1994)</w:t>
        </w:r>
      </w:hyperlink>
      <w:r w:rsidRPr="004E7ED2">
        <w:rPr>
          <w:rFonts w:ascii="Californian FB" w:hAnsi="Californian FB" w:cs="Times New Roman"/>
          <w:color w:val="000000"/>
          <w:sz w:val="24"/>
          <w:szCs w:val="24"/>
        </w:rPr>
        <w:t>. A book author need not be able to personally convert a book into a film so long as he can license someone else to do so. That Oracle could have licensed its code for use in Android is undisputed.</w:t>
      </w:r>
    </w:p>
    <w:p w14:paraId="71F91004" w14:textId="46DD7288" w:rsidR="00B4127D" w:rsidRPr="004E7ED2" w:rsidRDefault="00B4127D" w:rsidP="00AB7809">
      <w:pPr>
        <w:widowControl w:val="0"/>
        <w:autoSpaceDE w:val="0"/>
        <w:autoSpaceDN w:val="0"/>
        <w:adjustRightInd w:val="0"/>
        <w:spacing w:before="120" w:after="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6D3B193A"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7C5878A8" w14:textId="7FA6B1F3" w:rsidR="008D2F50" w:rsidRPr="004E7ED2" w:rsidRDefault="008D2F50" w:rsidP="00E76B0D">
      <w:pPr>
        <w:widowControl w:val="0"/>
        <w:autoSpaceDE w:val="0"/>
        <w:autoSpaceDN w:val="0"/>
        <w:adjustRightInd w:val="0"/>
        <w:spacing w:after="0" w:line="240" w:lineRule="auto"/>
        <w:jc w:val="both"/>
        <w:rPr>
          <w:rFonts w:ascii="Californian FB" w:hAnsi="Californian FB" w:cs="Times New Roman"/>
          <w:color w:val="000000"/>
          <w:sz w:val="24"/>
          <w:szCs w:val="24"/>
        </w:rPr>
      </w:pPr>
      <w:proofErr w:type="gramStart"/>
      <w:r w:rsidRPr="004E7ED2">
        <w:rPr>
          <w:rFonts w:ascii="Californian FB" w:hAnsi="Californian FB" w:cs="Times New Roman"/>
          <w:color w:val="000000"/>
          <w:sz w:val="24"/>
          <w:szCs w:val="24"/>
        </w:rPr>
        <w:t>.The</w:t>
      </w:r>
      <w:proofErr w:type="gramEnd"/>
      <w:r w:rsidRPr="004E7ED2">
        <w:rPr>
          <w:rFonts w:ascii="Californian FB" w:hAnsi="Californian FB" w:cs="Times New Roman"/>
          <w:color w:val="000000"/>
          <w:sz w:val="24"/>
          <w:szCs w:val="24"/>
        </w:rPr>
        <w:t xml:space="preserve"> majority expresses concern that Oracle might abuse its copyright protection (on outdated Android versions) and “ ‘attempt to monopolize the market.’ ”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1208 – 1209. But it is Google that recently </w:t>
      </w:r>
      <w:bookmarkStart w:id="55" w:name="co_pp_sp_708_1218_1"/>
      <w:bookmarkEnd w:id="55"/>
      <w:r w:rsidRPr="004E7ED2">
        <w:rPr>
          <w:rFonts w:ascii="Californian FB" w:hAnsi="Californian FB" w:cs="Times New Roman"/>
          <w:color w:val="000000"/>
          <w:sz w:val="24"/>
          <w:szCs w:val="24"/>
        </w:rPr>
        <w:t xml:space="preserve">was fined a record $5 billion for abusing Android to violate antitrust laws. Case AT.40099, </w:t>
      </w:r>
      <w:r w:rsidRPr="004E7ED2">
        <w:rPr>
          <w:rFonts w:ascii="Californian FB" w:hAnsi="Californian FB" w:cs="Times New Roman"/>
          <w:i/>
          <w:iCs/>
          <w:color w:val="000000"/>
          <w:sz w:val="24"/>
          <w:szCs w:val="24"/>
        </w:rPr>
        <w:t>Google Android</w:t>
      </w:r>
      <w:r w:rsidRPr="004E7ED2">
        <w:rPr>
          <w:rFonts w:ascii="Californian FB" w:hAnsi="Californian FB" w:cs="Times New Roman"/>
          <w:color w:val="000000"/>
          <w:sz w:val="24"/>
          <w:szCs w:val="24"/>
        </w:rPr>
        <w:t xml:space="preserve">, July 18, 2018 (Eur. Comm’n-Competition); </w:t>
      </w:r>
      <w:bookmarkStart w:id="56" w:name="co_anchor_I1bdf6c41cdd411eba03e924a66164"/>
      <w:bookmarkEnd w:id="56"/>
    </w:p>
    <w:p w14:paraId="6919C6E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1CEF9DB3" w14:textId="77777777" w:rsidR="008D2F50" w:rsidRPr="004E7ED2" w:rsidRDefault="008D2F50" w:rsidP="008D2F50">
      <w:pPr>
        <w:widowControl w:val="0"/>
        <w:autoSpaceDE w:val="0"/>
        <w:autoSpaceDN w:val="0"/>
        <w:adjustRightInd w:val="0"/>
        <w:spacing w:after="12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C. The Purpose and Character of the Use</w:t>
      </w:r>
    </w:p>
    <w:p w14:paraId="2F81AE73" w14:textId="797B0C26"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second-most important factor—“the purpose and character of the use, including whether such use is of a commercial nature or is for nonprofit educational purposes,” </w:t>
      </w:r>
      <w:hyperlink r:id="rId92" w:anchor="co_pp_f1c50000821b0" w:history="1">
        <w:r w:rsidRPr="004E7ED2">
          <w:rPr>
            <w:rFonts w:ascii="Californian FB" w:hAnsi="Californian FB" w:cs="Times New Roman"/>
            <w:color w:val="000000"/>
            <w:sz w:val="24"/>
            <w:szCs w:val="24"/>
          </w:rPr>
          <w:t>§ 107(1)</w:t>
        </w:r>
      </w:hyperlink>
      <w:r w:rsidRPr="004E7ED2">
        <w:rPr>
          <w:rFonts w:ascii="Californian FB" w:hAnsi="Californian FB" w:cs="Times New Roman"/>
          <w:color w:val="000000"/>
          <w:sz w:val="24"/>
          <w:szCs w:val="24"/>
        </w:rPr>
        <w:t xml:space="preserve">—requires us to consider whether use was “commercial” and whether it was “transformative.” </w:t>
      </w:r>
      <w:hyperlink r:id="rId93" w:anchor="co_pp_sp_780_578"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578–579,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Both aspects heavily favor Oracle.</w:t>
      </w:r>
    </w:p>
    <w:p w14:paraId="1D0E4420"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47584B01" w14:textId="008E14FB"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Begin with the overwhelming commercial nature of Google’s copying. In 2015 alone, the year before the fair-use trial, Google earned $18 billion from Android. That number has no doubt dramatically increased as Android has grown to dominate the global market share.</w:t>
      </w:r>
      <w:bookmarkStart w:id="57" w:name="co_fnRef_B00102053376261_ID0EHEDK_1"/>
      <w:bookmarkEnd w:id="57"/>
      <w:r w:rsidRPr="004E7ED2">
        <w:rPr>
          <w:rFonts w:ascii="Californian FB" w:hAnsi="Californian FB" w:cs="Times New Roman"/>
          <w:color w:val="000000"/>
          <w:sz w:val="24"/>
          <w:szCs w:val="24"/>
        </w:rPr>
        <w:fldChar w:fldCharType="begin"/>
      </w:r>
      <w:r w:rsidRPr="004E7ED2">
        <w:rPr>
          <w:rFonts w:ascii="Californian FB" w:hAnsi="Californian FB" w:cs="Times New Roman"/>
          <w:color w:val="000000"/>
          <w:sz w:val="24"/>
          <w:szCs w:val="24"/>
        </w:rPr>
        <w:instrText xml:space="preserve">HYPERLINK "#co_footnote_B00102053376261_1" </w:instrText>
      </w:r>
      <w:r w:rsidRPr="004E7ED2">
        <w:rPr>
          <w:rFonts w:ascii="Californian FB" w:hAnsi="Californian FB" w:cs="Times New Roman"/>
          <w:color w:val="000000"/>
          <w:sz w:val="24"/>
          <w:szCs w:val="24"/>
        </w:rPr>
        <w:fldChar w:fldCharType="separate"/>
      </w:r>
      <w:r w:rsidRPr="004E7ED2">
        <w:rPr>
          <w:rFonts w:ascii="Californian FB" w:hAnsi="Californian FB" w:cs="Times New Roman"/>
          <w:color w:val="000000"/>
          <w:sz w:val="24"/>
          <w:szCs w:val="24"/>
          <w:vertAlign w:val="superscript"/>
        </w:rPr>
        <w:t>9</w:t>
      </w:r>
      <w:r w:rsidRPr="004E7ED2">
        <w:rPr>
          <w:rFonts w:ascii="Californian FB" w:hAnsi="Californian FB" w:cs="Times New Roman"/>
          <w:color w:val="000000"/>
          <w:sz w:val="24"/>
          <w:szCs w:val="24"/>
        </w:rPr>
        <w:fldChar w:fldCharType="end"/>
      </w:r>
      <w:r w:rsidRPr="004E7ED2">
        <w:rPr>
          <w:rFonts w:ascii="Californian FB" w:hAnsi="Californian FB" w:cs="Times New Roman"/>
          <w:color w:val="000000"/>
          <w:sz w:val="24"/>
          <w:szCs w:val="24"/>
        </w:rPr>
        <w:t xml:space="preserve"> On this scale, Google’s use of Oracle’s declaring code weighs heavily—if not decisively—against fair use.</w:t>
      </w:r>
    </w:p>
    <w:p w14:paraId="214234DD"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03F2D16A"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 *</w:t>
      </w:r>
    </w:p>
    <w:p w14:paraId="7E91DBA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58" w:name="co_fnRef_B00112053376261_ID0E5IDK_1"/>
      <w:bookmarkEnd w:id="58"/>
    </w:p>
    <w:p w14:paraId="3CA3BB3B"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The majority acknowledges that Google used the copied declaring code “for the same reason” Oracle did.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xml:space="preserve">, at 1203. So, by turns, the majority transforms the definition of “transformative.” Now, we are told, “transformative” simply means—at least for computer code—a use that will help others “create new products.” </w:t>
      </w:r>
      <w:r w:rsidRPr="004E7ED2">
        <w:rPr>
          <w:rFonts w:ascii="Californian FB" w:hAnsi="Californian FB" w:cs="Times New Roman"/>
          <w:i/>
          <w:iCs/>
          <w:color w:val="000000"/>
          <w:sz w:val="24"/>
          <w:szCs w:val="24"/>
        </w:rPr>
        <w:t>Ibid;</w:t>
      </w:r>
      <w:r w:rsidRPr="004E7ED2">
        <w:rPr>
          <w:rFonts w:ascii="Californian FB" w:hAnsi="Californian FB" w:cs="Times New Roman"/>
          <w:color w:val="000000"/>
          <w:sz w:val="24"/>
          <w:szCs w:val="24"/>
        </w:rPr>
        <w:t xml:space="preserve"> accord, </w:t>
      </w:r>
      <w:r w:rsidRPr="004E7ED2">
        <w:rPr>
          <w:rFonts w:ascii="Californian FB" w:hAnsi="Californian FB" w:cs="Times New Roman"/>
          <w:i/>
          <w:iCs/>
          <w:color w:val="000000"/>
          <w:sz w:val="24"/>
          <w:szCs w:val="24"/>
        </w:rPr>
        <w:t>ante</w:t>
      </w:r>
      <w:r w:rsidRPr="004E7ED2">
        <w:rPr>
          <w:rFonts w:ascii="Californian FB" w:hAnsi="Californian FB" w:cs="Times New Roman"/>
          <w:color w:val="000000"/>
          <w:sz w:val="24"/>
          <w:szCs w:val="24"/>
        </w:rPr>
        <w:t>, at 1203 (Google’s copying “can further the development of computer programs”).</w:t>
      </w:r>
    </w:p>
    <w:p w14:paraId="70529721"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B7CBEE2" w14:textId="4843DFCE" w:rsidR="008D2F50" w:rsidRDefault="008D2F50" w:rsidP="008654BE">
      <w:pPr>
        <w:widowControl w:val="0"/>
        <w:autoSpaceDE w:val="0"/>
        <w:autoSpaceDN w:val="0"/>
        <w:adjustRightInd w:val="0"/>
        <w:spacing w:after="12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That new definition eviscerates copyright. A movie studio that converts a book into a film without permission not only creates a new product (the film) but enables others to “create products”—film reviews, merchandise, YouTube highlight reels, late night television interviews, and the like. Nearly every computer program, once copied, can be used to create new products. Surely the majority would not say that an author can pirate the next version of Microsoft Word simply because he can use it to create new manuscripts.</w:t>
      </w:r>
      <w:bookmarkStart w:id="59" w:name="co_fnRef_B00122053376261_ID0ESTDK_1"/>
      <w:bookmarkEnd w:id="59"/>
      <w:r w:rsidRPr="004E7ED2">
        <w:rPr>
          <w:rFonts w:ascii="Californian FB" w:hAnsi="Californian FB" w:cs="Times New Roman"/>
          <w:color w:val="000000"/>
          <w:sz w:val="24"/>
          <w:szCs w:val="24"/>
        </w:rPr>
        <w:t xml:space="preserve"> </w:t>
      </w:r>
    </w:p>
    <w:p w14:paraId="12576574" w14:textId="1680A413" w:rsidR="00C4626F" w:rsidRPr="004E7ED2" w:rsidRDefault="00C4626F" w:rsidP="008654BE">
      <w:pPr>
        <w:widowControl w:val="0"/>
        <w:autoSpaceDE w:val="0"/>
        <w:autoSpaceDN w:val="0"/>
        <w:adjustRightInd w:val="0"/>
        <w:spacing w:after="120" w:line="240" w:lineRule="auto"/>
        <w:jc w:val="center"/>
        <w:rPr>
          <w:rFonts w:ascii="Californian FB" w:hAnsi="Californian FB" w:cs="Times New Roman"/>
          <w:color w:val="000000"/>
          <w:sz w:val="24"/>
          <w:szCs w:val="24"/>
        </w:rPr>
      </w:pPr>
      <w:r>
        <w:rPr>
          <w:rFonts w:ascii="Californian FB" w:hAnsi="Californian FB" w:cs="Times New Roman"/>
          <w:color w:val="000000"/>
          <w:sz w:val="24"/>
          <w:szCs w:val="24"/>
        </w:rPr>
        <w:t>* * * *</w:t>
      </w:r>
    </w:p>
    <w:p w14:paraId="255EAEFB" w14:textId="77777777" w:rsidR="008D2F50" w:rsidRPr="004E7ED2" w:rsidRDefault="008D2F50" w:rsidP="008654BE">
      <w:pPr>
        <w:widowControl w:val="0"/>
        <w:autoSpaceDE w:val="0"/>
        <w:autoSpaceDN w:val="0"/>
        <w:adjustRightInd w:val="0"/>
        <w:spacing w:after="120" w:line="240" w:lineRule="auto"/>
        <w:jc w:val="center"/>
        <w:rPr>
          <w:rFonts w:ascii="Californian FB" w:hAnsi="Californian FB" w:cs="Times New Roman"/>
          <w:color w:val="000000"/>
          <w:sz w:val="24"/>
          <w:szCs w:val="24"/>
        </w:rPr>
      </w:pPr>
      <w:bookmarkStart w:id="60" w:name="co_anchor_I1be42731cdd411eba03e924a66164"/>
      <w:bookmarkEnd w:id="60"/>
      <w:r w:rsidRPr="004E7ED2">
        <w:rPr>
          <w:rFonts w:ascii="Californian FB" w:hAnsi="Californian FB" w:cs="Times New Roman"/>
          <w:color w:val="000000"/>
          <w:sz w:val="24"/>
          <w:szCs w:val="24"/>
        </w:rPr>
        <w:t>D. The Amount and Substantiality of the Portion Used</w:t>
      </w:r>
    </w:p>
    <w:p w14:paraId="3C6B9AF7" w14:textId="77777777" w:rsidR="008D2F50" w:rsidRPr="004E7ED2" w:rsidRDefault="008D2F50" w:rsidP="008D2F50">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 * * </w:t>
      </w:r>
    </w:p>
    <w:p w14:paraId="2A4D24F0" w14:textId="2A443FF6"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61" w:name="co_pp_sp_708_1220_1"/>
      <w:bookmarkEnd w:id="61"/>
      <w:r w:rsidRPr="004E7ED2">
        <w:rPr>
          <w:rFonts w:ascii="Californian FB" w:hAnsi="Californian FB" w:cs="Times New Roman"/>
          <w:color w:val="000000"/>
          <w:sz w:val="24"/>
          <w:szCs w:val="24"/>
        </w:rPr>
        <w:t xml:space="preserve">Google does not dispute the Federal Circuit’s conclusion that it copied the heart or focal points of Oracle’s work. </w:t>
      </w:r>
      <w:hyperlink r:id="rId94" w:anchor="co_pp_sp_506_1207" w:history="1">
        <w:r w:rsidRPr="004E7ED2">
          <w:rPr>
            <w:rFonts w:ascii="Californian FB" w:hAnsi="Californian FB" w:cs="Times New Roman"/>
            <w:color w:val="000000"/>
            <w:sz w:val="24"/>
            <w:szCs w:val="24"/>
          </w:rPr>
          <w:t>886 F.3d at 1207</w:t>
        </w:r>
      </w:hyperlink>
      <w:r w:rsidRPr="004E7ED2">
        <w:rPr>
          <w:rFonts w:ascii="Californian FB" w:hAnsi="Californian FB" w:cs="Times New Roman"/>
          <w:color w:val="000000"/>
          <w:sz w:val="24"/>
          <w:szCs w:val="24"/>
        </w:rPr>
        <w:t xml:space="preserve">. The declaring code is what attracted programmers to the Java platform and why Google was so interested in that code. And Google copied that code “verbatim,” which weighs against fair use. </w:t>
      </w:r>
      <w:hyperlink r:id="rId95" w:anchor="co_pp_sp_780_565" w:history="1">
        <w:r w:rsidRPr="004E7ED2">
          <w:rPr>
            <w:rFonts w:ascii="Californian FB" w:hAnsi="Californian FB" w:cs="Times New Roman"/>
            <w:i/>
            <w:iCs/>
            <w:color w:val="000000"/>
            <w:sz w:val="24"/>
            <w:szCs w:val="24"/>
          </w:rPr>
          <w:t>Harper</w:t>
        </w:r>
        <w:r w:rsidRPr="004E7ED2">
          <w:rPr>
            <w:rFonts w:ascii="Californian FB" w:hAnsi="Californian FB" w:cs="Times New Roman"/>
            <w:color w:val="000000"/>
            <w:sz w:val="24"/>
            <w:szCs w:val="24"/>
          </w:rPr>
          <w:t xml:space="preserve">, 471 U.S., at 565, 105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2218</w:t>
        </w:r>
      </w:hyperlink>
      <w:r w:rsidRPr="004E7ED2">
        <w:rPr>
          <w:rFonts w:ascii="Californian FB" w:hAnsi="Californian FB" w:cs="Times New Roman"/>
          <w:color w:val="000000"/>
          <w:sz w:val="24"/>
          <w:szCs w:val="24"/>
        </w:rPr>
        <w:t xml:space="preserve">. The majority does not disagree. Instead, it concludes that Google took no more than necessary to create new products. </w:t>
      </w:r>
      <w:r w:rsidRPr="004E7ED2">
        <w:rPr>
          <w:rFonts w:ascii="Californian FB" w:hAnsi="Californian FB" w:cs="Times New Roman"/>
          <w:color w:val="000000"/>
          <w:sz w:val="24"/>
          <w:szCs w:val="24"/>
        </w:rPr>
        <w:lastRenderedPageBreak/>
        <w:t xml:space="preserve">That analysis fails because Google’s use is not transformative. </w:t>
      </w:r>
      <w:hyperlink r:id="rId96" w:anchor="co_pp_sp_780_586"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586,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xml:space="preserve"> (recognizing that this fourth factor “will harken back to the [purpose-and-character] statutory facto[r]”). This factor thus weighs against Google.</w:t>
      </w:r>
    </w:p>
    <w:p w14:paraId="6C8ECBD9"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3D2F3AAB" w14:textId="175695DD"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xml:space="preserve">Even if Google’s use were transformative, the majority is wrong to conclude that Google copied only a small portion of the original work. The majority points out that the 11,500 lines of declaring code—enough to fill about 600 pages in an appendix, Tr. of Oral Arg. 57—were just a fraction of the code in the Java platform. But the proper denominator is </w:t>
      </w:r>
      <w:r w:rsidRPr="004E7ED2">
        <w:rPr>
          <w:rFonts w:ascii="Californian FB" w:hAnsi="Californian FB" w:cs="Times New Roman"/>
          <w:i/>
          <w:iCs/>
          <w:color w:val="000000"/>
          <w:sz w:val="24"/>
          <w:szCs w:val="24"/>
        </w:rPr>
        <w:t>declaring code</w:t>
      </w:r>
      <w:r w:rsidRPr="004E7ED2">
        <w:rPr>
          <w:rFonts w:ascii="Californian FB" w:hAnsi="Californian FB" w:cs="Times New Roman"/>
          <w:color w:val="000000"/>
          <w:sz w:val="24"/>
          <w:szCs w:val="24"/>
        </w:rPr>
        <w:t xml:space="preserve">, not all code. A copied work is quantitatively substantial if it could “serve as a market substitute for the original” work or “potentially licensed derivatives” of that work. </w:t>
      </w:r>
      <w:hyperlink r:id="rId97" w:anchor="co_pp_sp_780_587" w:history="1">
        <w:r w:rsidRPr="004E7ED2">
          <w:rPr>
            <w:rFonts w:ascii="Californian FB" w:hAnsi="Californian FB" w:cs="Times New Roman"/>
            <w:i/>
            <w:iCs/>
            <w:color w:val="000000"/>
            <w:sz w:val="24"/>
            <w:szCs w:val="24"/>
          </w:rPr>
          <w:t>Campbell</w:t>
        </w:r>
        <w:r w:rsidRPr="004E7ED2">
          <w:rPr>
            <w:rFonts w:ascii="Californian FB" w:hAnsi="Californian FB" w:cs="Times New Roman"/>
            <w:color w:val="000000"/>
            <w:sz w:val="24"/>
            <w:szCs w:val="24"/>
          </w:rPr>
          <w:t xml:space="preserve">, 510 U.S., at 587, 114 </w:t>
        </w:r>
        <w:proofErr w:type="spellStart"/>
        <w:r w:rsidRPr="004E7ED2">
          <w:rPr>
            <w:rFonts w:ascii="Californian FB" w:hAnsi="Californian FB" w:cs="Times New Roman"/>
            <w:color w:val="000000"/>
            <w:sz w:val="24"/>
            <w:szCs w:val="24"/>
          </w:rPr>
          <w:t>S.Ct</w:t>
        </w:r>
        <w:proofErr w:type="spellEnd"/>
        <w:r w:rsidRPr="004E7ED2">
          <w:rPr>
            <w:rFonts w:ascii="Californian FB" w:hAnsi="Californian FB" w:cs="Times New Roman"/>
            <w:color w:val="000000"/>
            <w:sz w:val="24"/>
            <w:szCs w:val="24"/>
          </w:rPr>
          <w:t>. 1164</w:t>
        </w:r>
      </w:hyperlink>
      <w:r w:rsidRPr="004E7ED2">
        <w:rPr>
          <w:rFonts w:ascii="Californian FB" w:hAnsi="Californian FB" w:cs="Times New Roman"/>
          <w:color w:val="000000"/>
          <w:sz w:val="24"/>
          <w:szCs w:val="24"/>
        </w:rPr>
        <w:t>. The declaring code is what attracted programmers. And it is what made Android a “market substitute” for “potentially licensed derivatives” of Oracle’s Java platform. Google’s copying was both qualitatively and quantitatively substantial.</w:t>
      </w:r>
    </w:p>
    <w:p w14:paraId="5C86A859" w14:textId="55862038" w:rsidR="008D2F50" w:rsidRPr="004E7ED2" w:rsidRDefault="008D2F50" w:rsidP="008E2675">
      <w:pPr>
        <w:widowControl w:val="0"/>
        <w:autoSpaceDE w:val="0"/>
        <w:autoSpaceDN w:val="0"/>
        <w:adjustRightInd w:val="0"/>
        <w:spacing w:after="0" w:line="240" w:lineRule="auto"/>
        <w:jc w:val="center"/>
        <w:rPr>
          <w:rFonts w:ascii="Californian FB" w:hAnsi="Californian FB" w:cs="Times New Roman"/>
          <w:color w:val="000000"/>
          <w:sz w:val="24"/>
          <w:szCs w:val="24"/>
        </w:rPr>
      </w:pPr>
      <w:r w:rsidRPr="004E7ED2">
        <w:rPr>
          <w:rFonts w:ascii="Californian FB" w:hAnsi="Californian FB" w:cs="Times New Roman"/>
          <w:color w:val="000000"/>
          <w:sz w:val="24"/>
          <w:szCs w:val="24"/>
        </w:rPr>
        <w:t>* * *</w:t>
      </w:r>
    </w:p>
    <w:p w14:paraId="34F54236" w14:textId="77777777" w:rsidR="008D2F50" w:rsidRPr="004E7ED2"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 </w:t>
      </w:r>
    </w:p>
    <w:p w14:paraId="251C81DB" w14:textId="77777777" w:rsidR="008654BE" w:rsidRDefault="008D2F50" w:rsidP="008654BE">
      <w:pPr>
        <w:widowControl w:val="0"/>
        <w:autoSpaceDE w:val="0"/>
        <w:autoSpaceDN w:val="0"/>
        <w:adjustRightInd w:val="0"/>
        <w:spacing w:after="0" w:line="240" w:lineRule="auto"/>
        <w:jc w:val="both"/>
        <w:rPr>
          <w:rFonts w:ascii="Californian FB" w:hAnsi="Californian FB" w:cs="Times New Roman"/>
          <w:color w:val="000000"/>
          <w:sz w:val="24"/>
          <w:szCs w:val="24"/>
        </w:rPr>
      </w:pPr>
      <w:r w:rsidRPr="004E7ED2">
        <w:rPr>
          <w:rFonts w:ascii="Californian FB" w:hAnsi="Californian FB" w:cs="Times New Roman"/>
          <w:color w:val="000000"/>
          <w:sz w:val="24"/>
          <w:szCs w:val="24"/>
        </w:rPr>
        <w:t>In sum, three of the four statutory fair-use factors weigh decidedly against Google. The nature of the copyrighted work—the sole factor possibly favoring Google—cannot by itself support a determination of fair use because holding otherwise would improperly override Congress’ determination that declaring code is copyrightable.</w:t>
      </w:r>
      <w:bookmarkStart w:id="62" w:name="co_fnRef_B00132053376261_ID0EQAEK_1"/>
      <w:bookmarkEnd w:id="62"/>
      <w:r w:rsidRPr="004E7ED2">
        <w:rPr>
          <w:rFonts w:ascii="Californian FB" w:hAnsi="Californian FB" w:cs="Times New Roman"/>
          <w:color w:val="000000"/>
          <w:sz w:val="24"/>
          <w:szCs w:val="24"/>
        </w:rPr>
        <w:t xml:space="preserve"> </w:t>
      </w:r>
    </w:p>
    <w:p w14:paraId="2D943B2C" w14:textId="77777777" w:rsidR="008654BE" w:rsidRDefault="008654BE" w:rsidP="008654BE">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18010BEC" w14:textId="51AE7A3C" w:rsidR="00B501FB" w:rsidRPr="00E42C87" w:rsidRDefault="00B501FB" w:rsidP="008654BE">
      <w:pPr>
        <w:widowControl w:val="0"/>
        <w:autoSpaceDE w:val="0"/>
        <w:autoSpaceDN w:val="0"/>
        <w:adjustRightInd w:val="0"/>
        <w:spacing w:after="120" w:line="240" w:lineRule="auto"/>
        <w:jc w:val="center"/>
        <w:rPr>
          <w:rFonts w:ascii="Californian FB" w:hAnsi="Californian FB" w:cs="Times New Roman"/>
          <w:b/>
          <w:bCs/>
          <w:color w:val="000000"/>
          <w:sz w:val="24"/>
          <w:szCs w:val="24"/>
        </w:rPr>
      </w:pPr>
      <w:r w:rsidRPr="00E42C87">
        <w:rPr>
          <w:rFonts w:ascii="Californian FB" w:hAnsi="Californian FB" w:cs="Times New Roman"/>
          <w:b/>
          <w:bCs/>
          <w:color w:val="000000"/>
          <w:sz w:val="24"/>
          <w:szCs w:val="24"/>
        </w:rPr>
        <w:t>Notes</w:t>
      </w:r>
    </w:p>
    <w:p w14:paraId="20EA548F" w14:textId="28BDB0C9" w:rsidR="004A64EF" w:rsidRPr="004A64EF" w:rsidRDefault="00B501FB" w:rsidP="004A64EF">
      <w:pPr>
        <w:ind w:left="360" w:hanging="360"/>
        <w:jc w:val="both"/>
        <w:rPr>
          <w:rFonts w:ascii="Californian FB" w:hAnsi="Californian FB" w:cs="Times New Roman"/>
          <w:color w:val="000000"/>
          <w:sz w:val="24"/>
          <w:szCs w:val="24"/>
        </w:rPr>
      </w:pPr>
      <w:r w:rsidRPr="00E42C87">
        <w:rPr>
          <w:rFonts w:ascii="Californian FB" w:hAnsi="Californian FB" w:cs="Times New Roman"/>
          <w:b/>
          <w:bCs/>
          <w:color w:val="000000"/>
          <w:sz w:val="24"/>
          <w:szCs w:val="24"/>
        </w:rPr>
        <w:t xml:space="preserve">1.  </w:t>
      </w:r>
      <w:r w:rsidR="004A64EF" w:rsidRPr="004A64EF">
        <w:rPr>
          <w:rFonts w:ascii="Californian FB" w:hAnsi="Californian FB" w:cs="Times New Roman"/>
          <w:b/>
          <w:bCs/>
          <w:color w:val="000000"/>
          <w:sz w:val="24"/>
          <w:szCs w:val="24"/>
        </w:rPr>
        <w:t>What’s the Hol</w:t>
      </w:r>
      <w:r w:rsidR="004A64EF">
        <w:rPr>
          <w:rFonts w:ascii="Californian FB" w:hAnsi="Californian FB" w:cs="Times New Roman"/>
          <w:b/>
          <w:bCs/>
          <w:color w:val="000000"/>
          <w:sz w:val="24"/>
          <w:szCs w:val="24"/>
        </w:rPr>
        <w:t xml:space="preserve">ding? </w:t>
      </w:r>
      <w:r w:rsidR="004A64EF" w:rsidRPr="004A64EF">
        <w:rPr>
          <w:rFonts w:ascii="Californian FB" w:hAnsi="Californian FB" w:cs="Times New Roman"/>
          <w:color w:val="000000"/>
          <w:sz w:val="24"/>
          <w:szCs w:val="24"/>
        </w:rPr>
        <w:t>The first function of the Supreme Court</w:t>
      </w:r>
      <w:r w:rsidR="004A64EF">
        <w:rPr>
          <w:rFonts w:ascii="Californian FB" w:hAnsi="Californian FB" w:cs="Times New Roman"/>
          <w:color w:val="000000"/>
          <w:sz w:val="24"/>
          <w:szCs w:val="24"/>
        </w:rPr>
        <w:t>, like that of any court,</w:t>
      </w:r>
      <w:r w:rsidR="004A64EF" w:rsidRPr="004A64EF">
        <w:rPr>
          <w:rFonts w:ascii="Californian FB" w:hAnsi="Californian FB" w:cs="Times New Roman"/>
          <w:color w:val="000000"/>
          <w:sz w:val="24"/>
          <w:szCs w:val="24"/>
        </w:rPr>
        <w:t xml:space="preserve"> is to resolve the dispute before it so that the parties can go about their affairs.  However, the Supreme Court usually goes beyond that and, in resolving cases, lays down general principles.</w:t>
      </w:r>
      <w:r w:rsidR="004A64EF">
        <w:rPr>
          <w:rFonts w:ascii="Californian FB" w:hAnsi="Californian FB" w:cs="Times New Roman"/>
          <w:color w:val="000000"/>
          <w:sz w:val="24"/>
          <w:szCs w:val="24"/>
        </w:rPr>
        <w:t xml:space="preserve"> In fact, that is one of the arguments the </w:t>
      </w:r>
      <w:r w:rsidR="004A64EF">
        <w:rPr>
          <w:rFonts w:ascii="Californian FB" w:hAnsi="Californian FB" w:cs="Times New Roman"/>
          <w:i/>
          <w:iCs/>
          <w:color w:val="000000"/>
          <w:sz w:val="24"/>
          <w:szCs w:val="24"/>
        </w:rPr>
        <w:t xml:space="preserve">Google v. Oracle America </w:t>
      </w:r>
      <w:r w:rsidR="004A64EF">
        <w:rPr>
          <w:rFonts w:ascii="Californian FB" w:hAnsi="Californian FB" w:cs="Times New Roman"/>
          <w:color w:val="000000"/>
          <w:sz w:val="24"/>
          <w:szCs w:val="24"/>
        </w:rPr>
        <w:t xml:space="preserve">Court makes in favor of treating fair use as a mixed question of law and fact – in deciding fair use cases, courts create fair use law. </w:t>
      </w:r>
      <w:r w:rsidR="004A64EF" w:rsidRPr="004A64EF">
        <w:rPr>
          <w:rFonts w:ascii="Californian FB" w:hAnsi="Californian FB" w:cs="Times New Roman"/>
          <w:color w:val="000000"/>
          <w:sz w:val="24"/>
          <w:szCs w:val="24"/>
        </w:rPr>
        <w:t>What do you take away from this case?  If there is a general principle</w:t>
      </w:r>
      <w:r w:rsidR="004A64EF">
        <w:rPr>
          <w:rFonts w:ascii="Californian FB" w:hAnsi="Californian FB" w:cs="Times New Roman"/>
          <w:color w:val="000000"/>
          <w:sz w:val="24"/>
          <w:szCs w:val="24"/>
        </w:rPr>
        <w:t>,</w:t>
      </w:r>
      <w:r w:rsidR="004A64EF" w:rsidRPr="004A64EF">
        <w:rPr>
          <w:rFonts w:ascii="Californian FB" w:hAnsi="Californian FB" w:cs="Times New Roman"/>
          <w:color w:val="000000"/>
          <w:sz w:val="24"/>
          <w:szCs w:val="24"/>
        </w:rPr>
        <w:t xml:space="preserve"> is it limited to computer programs?  Or to all functional works (such as potentially copyrightable architectural plans, or business forms)?  Do you think this captures it: “Copying that facilitates third party development of new works is a transformative use that is protected under the fair use doctrine?”  Or perhaps a narrower holding limited to the computer field such as: “Copying that facilitates interoperability of software on different platforms is presumptive fair use?”  Or perhaps something even narrower such as: “Copying of ‘declaring’ code that enables the use of a popular API familiar to millions of programmers is presumptive fair use?”</w:t>
      </w:r>
      <w:r w:rsidR="004A64EF" w:rsidRPr="004A64EF">
        <w:rPr>
          <w:rFonts w:ascii="Californian FB" w:hAnsi="Californian FB" w:cs="Times New Roman"/>
          <w:b/>
          <w:bCs/>
          <w:color w:val="000000"/>
          <w:sz w:val="24"/>
          <w:szCs w:val="24"/>
        </w:rPr>
        <w:t xml:space="preserve"> </w:t>
      </w:r>
    </w:p>
    <w:p w14:paraId="7B33099D" w14:textId="571B2E28" w:rsidR="00B501FB" w:rsidRPr="00E42C87" w:rsidRDefault="004A64EF" w:rsidP="00B501FB">
      <w:pPr>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 xml:space="preserve">2.  </w:t>
      </w:r>
      <w:r w:rsidR="00B501FB" w:rsidRPr="00E42C87">
        <w:rPr>
          <w:rFonts w:ascii="Californian FB" w:hAnsi="Californian FB" w:cs="Times New Roman"/>
          <w:b/>
          <w:bCs/>
          <w:color w:val="000000"/>
          <w:sz w:val="24"/>
          <w:szCs w:val="24"/>
        </w:rPr>
        <w:t xml:space="preserve">Who created the value?  </w:t>
      </w:r>
      <w:r w:rsidR="00B501FB" w:rsidRPr="00E42C87">
        <w:rPr>
          <w:rFonts w:ascii="Californian FB" w:hAnsi="Californian FB" w:cs="Times New Roman"/>
          <w:color w:val="000000"/>
          <w:sz w:val="24"/>
          <w:szCs w:val="24"/>
        </w:rPr>
        <w:t xml:space="preserve">There is no doubt that the Java declaring code is valuable to Google in large part because so many programmers have learned it. What should that mean for fair use analysis?  For Justice Breyer, it weighs in favor of fair use, because, he asserts, the declaring code’s “value in significant part derives from the value that those who do not hold copyrights, namely, computer programmers, invest of their own time and effort to learn the API’s system” – and not the time, effort, or creativity that Oracle invested in creating the code. For Justice Thomas, that is nonsense: “Oracle spent years developing a programming library that successfully attracted software developers, thus enhancing the value of Oracle’s products.” Who do you think has the better of this argument? Is it an argument about whether Oracle deserves a reward, or whether copyright was needed to incentivize creation? If it is about </w:t>
      </w:r>
      <w:r w:rsidR="00B501FB" w:rsidRPr="00E42C87">
        <w:rPr>
          <w:rFonts w:ascii="Californian FB" w:hAnsi="Californian FB" w:cs="Times New Roman"/>
          <w:color w:val="000000"/>
          <w:sz w:val="24"/>
          <w:szCs w:val="24"/>
        </w:rPr>
        <w:lastRenderedPageBreak/>
        <w:t>incentives, is Justice Breyer arguing that different declaring code would have ended up being learned by just as many programmers?  Is that an easy argument to make?</w:t>
      </w:r>
    </w:p>
    <w:p w14:paraId="7004C4AB" w14:textId="0BF6943C" w:rsidR="00B501FB" w:rsidRPr="00E42C87" w:rsidRDefault="004A64EF" w:rsidP="00B501FB">
      <w:pPr>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3</w:t>
      </w:r>
      <w:r w:rsidR="00B501FB" w:rsidRPr="00E42C87">
        <w:rPr>
          <w:rFonts w:ascii="Californian FB" w:hAnsi="Californian FB" w:cs="Times New Roman"/>
          <w:b/>
          <w:bCs/>
          <w:color w:val="000000"/>
          <w:sz w:val="24"/>
          <w:szCs w:val="24"/>
        </w:rPr>
        <w:t>.   Implementing programs: more or less creative than declaring code?</w:t>
      </w:r>
      <w:r w:rsidR="00B501FB" w:rsidRPr="00E42C87">
        <w:rPr>
          <w:rFonts w:ascii="Californian FB" w:hAnsi="Californian FB" w:cs="Times New Roman"/>
          <w:color w:val="000000"/>
          <w:sz w:val="24"/>
          <w:szCs w:val="24"/>
        </w:rPr>
        <w:t xml:space="preserve">  Justice Breyer argues that writing the implementing programs that actually execute tasks involves more creativity than writing declaring code.  In support of that argument, he cites evidence that in writing such implementing programs, the programmer must balance considerations like speed, use of memory, and use of power.  Can you imagine how, in another context, Breyer might argue that those considerations are “functional” rather than matters of “creativity”? Suppose that a particular task, such as the task of determining which of two numbers is larger, could be executed by many different implementing programs.  Suppose further, however, that there was one implementing program that was proven to be the fastest, while also using the least memory and the least power.  </w:t>
      </w:r>
      <w:r w:rsidR="002E3960">
        <w:rPr>
          <w:rFonts w:ascii="Californian FB" w:hAnsi="Californian FB" w:cs="Times New Roman"/>
          <w:color w:val="000000"/>
          <w:sz w:val="24"/>
          <w:szCs w:val="24"/>
        </w:rPr>
        <w:t>Lastly, s</w:t>
      </w:r>
      <w:r w:rsidR="00B501FB" w:rsidRPr="00E42C87">
        <w:rPr>
          <w:rFonts w:ascii="Californian FB" w:hAnsi="Californian FB" w:cs="Times New Roman"/>
          <w:color w:val="000000"/>
          <w:sz w:val="24"/>
          <w:szCs w:val="24"/>
        </w:rPr>
        <w:t xml:space="preserve">uppose that a programmer copied that superlative implementing program, and the creator of the program sued for copyright infringement.  Might Justice Breyer (and others) conclude that the program could be protected, if at all, under patent law, and </w:t>
      </w:r>
      <w:r w:rsidR="002E3960">
        <w:rPr>
          <w:rFonts w:ascii="Californian FB" w:hAnsi="Californian FB" w:cs="Times New Roman"/>
          <w:color w:val="000000"/>
          <w:sz w:val="24"/>
          <w:szCs w:val="24"/>
        </w:rPr>
        <w:t xml:space="preserve">that </w:t>
      </w:r>
      <w:r w:rsidR="00B501FB" w:rsidRPr="00E42C87">
        <w:rPr>
          <w:rFonts w:ascii="Californian FB" w:hAnsi="Californian FB" w:cs="Times New Roman"/>
          <w:color w:val="000000"/>
          <w:sz w:val="24"/>
          <w:szCs w:val="24"/>
        </w:rPr>
        <w:t>a functionality defense could be raised against the copyright infringement claim?</w:t>
      </w:r>
    </w:p>
    <w:p w14:paraId="01F9BF0C" w14:textId="7EB72BB0" w:rsidR="00B501FB" w:rsidRPr="0060231C" w:rsidRDefault="00B501FB" w:rsidP="00B501FB">
      <w:pPr>
        <w:ind w:left="360"/>
        <w:jc w:val="both"/>
        <w:rPr>
          <w:rFonts w:ascii="Californian FB" w:hAnsi="Californian FB" w:cs="Times New Roman"/>
          <w:color w:val="000000"/>
          <w:sz w:val="24"/>
          <w:szCs w:val="24"/>
        </w:rPr>
      </w:pPr>
      <w:r w:rsidRPr="00E42C87">
        <w:rPr>
          <w:rFonts w:ascii="Californian FB" w:hAnsi="Californian FB" w:cs="Times New Roman"/>
          <w:color w:val="000000"/>
          <w:sz w:val="24"/>
          <w:szCs w:val="24"/>
        </w:rPr>
        <w:t xml:space="preserve">By contrast, Justice Thomas argues that it is the declaring code that involves more creativity, because it actually “conveys expression” to developers, whereas the implementing code works entirely behind the scenes, and is not perceptible. That approach follows a long tradition of privileging perceptible expression as being at the core of copyright. For example, when Justice Holmes speaks of originality as involving “the personal reaction of an individual upon nature” in </w:t>
      </w:r>
      <w:proofErr w:type="spellStart"/>
      <w:r w:rsidRPr="00E42C87">
        <w:rPr>
          <w:rFonts w:ascii="Californian FB" w:hAnsi="Californian FB" w:cs="Times New Roman"/>
          <w:i/>
          <w:iCs/>
          <w:color w:val="000000"/>
          <w:sz w:val="24"/>
          <w:szCs w:val="24"/>
        </w:rPr>
        <w:t>Bleistein</w:t>
      </w:r>
      <w:proofErr w:type="spellEnd"/>
      <w:r w:rsidRPr="00E42C87">
        <w:rPr>
          <w:rFonts w:ascii="Californian FB" w:hAnsi="Californian FB" w:cs="Times New Roman"/>
          <w:i/>
          <w:iCs/>
          <w:color w:val="000000"/>
          <w:sz w:val="24"/>
          <w:szCs w:val="24"/>
        </w:rPr>
        <w:t xml:space="preserve"> v. Davidson Lithographing Company </w:t>
      </w:r>
      <w:r w:rsidRPr="00E42C87">
        <w:rPr>
          <w:rFonts w:ascii="Californian FB" w:hAnsi="Californian FB" w:cs="Times New Roman"/>
          <w:color w:val="000000"/>
          <w:sz w:val="24"/>
          <w:szCs w:val="24"/>
        </w:rPr>
        <w:t>(casebook p.53), he is undoubtedly thinking of a visible portrayal of some object in the world. Which approach to the creativity issue do you find more convincing?</w:t>
      </w:r>
      <w:r>
        <w:rPr>
          <w:rFonts w:ascii="Californian FB" w:hAnsi="Californian FB" w:cs="Times New Roman"/>
          <w:color w:val="000000"/>
          <w:sz w:val="24"/>
          <w:szCs w:val="24"/>
        </w:rPr>
        <w:t xml:space="preserve">  Whichever approach you find more convincing, does this breathe life back into factor two, which Judge </w:t>
      </w:r>
      <w:proofErr w:type="spellStart"/>
      <w:r>
        <w:rPr>
          <w:rFonts w:ascii="Californian FB" w:hAnsi="Californian FB" w:cs="Times New Roman"/>
          <w:color w:val="000000"/>
          <w:sz w:val="24"/>
          <w:szCs w:val="24"/>
        </w:rPr>
        <w:t>Leval</w:t>
      </w:r>
      <w:proofErr w:type="spellEnd"/>
      <w:r>
        <w:rPr>
          <w:rFonts w:ascii="Californian FB" w:hAnsi="Californian FB" w:cs="Times New Roman"/>
          <w:color w:val="000000"/>
          <w:sz w:val="24"/>
          <w:szCs w:val="24"/>
        </w:rPr>
        <w:t xml:space="preserve"> all but declared dead in </w:t>
      </w:r>
      <w:r>
        <w:rPr>
          <w:rFonts w:ascii="Californian FB" w:hAnsi="Californian FB" w:cs="Times New Roman"/>
          <w:i/>
          <w:iCs/>
          <w:color w:val="000000"/>
          <w:sz w:val="24"/>
          <w:szCs w:val="24"/>
        </w:rPr>
        <w:t>Authors Guild v. Google</w:t>
      </w:r>
      <w:r>
        <w:rPr>
          <w:rFonts w:ascii="Californian FB" w:hAnsi="Californian FB" w:cs="Times New Roman"/>
          <w:color w:val="000000"/>
          <w:sz w:val="24"/>
          <w:szCs w:val="24"/>
        </w:rPr>
        <w:t>?</w:t>
      </w:r>
    </w:p>
    <w:p w14:paraId="078FEFF8" w14:textId="40CE13C9" w:rsidR="00B501FB" w:rsidRPr="00E42C87" w:rsidRDefault="004A64EF" w:rsidP="008654BE">
      <w:pPr>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4</w:t>
      </w:r>
      <w:r w:rsidR="00B501FB" w:rsidRPr="00E42C87">
        <w:rPr>
          <w:rFonts w:ascii="Californian FB" w:hAnsi="Californian FB" w:cs="Times New Roman"/>
          <w:b/>
          <w:bCs/>
          <w:color w:val="000000"/>
          <w:sz w:val="24"/>
          <w:szCs w:val="24"/>
        </w:rPr>
        <w:t xml:space="preserve">.  The declaring code and language. </w:t>
      </w:r>
      <w:r w:rsidR="00B501FB" w:rsidRPr="00E42C87">
        <w:rPr>
          <w:rFonts w:ascii="Californian FB" w:hAnsi="Californian FB" w:cs="Times New Roman"/>
          <w:color w:val="000000"/>
          <w:sz w:val="24"/>
          <w:szCs w:val="24"/>
        </w:rPr>
        <w:t xml:space="preserve">When Oracle sued Google, it drew a distinction between Java as a language, in which it did not claim copyright, and the declaring code of the Java API, in which it did claim copyright. From the point of view of how the language and the declaring code </w:t>
      </w:r>
      <w:r w:rsidR="00B301AC">
        <w:rPr>
          <w:rFonts w:ascii="Californian FB" w:hAnsi="Californian FB" w:cs="Times New Roman"/>
          <w:color w:val="000000"/>
          <w:sz w:val="24"/>
          <w:szCs w:val="24"/>
        </w:rPr>
        <w:t>are</w:t>
      </w:r>
      <w:r w:rsidR="00B501FB" w:rsidRPr="00E42C87">
        <w:rPr>
          <w:rFonts w:ascii="Californian FB" w:hAnsi="Californian FB" w:cs="Times New Roman"/>
          <w:color w:val="000000"/>
          <w:sz w:val="24"/>
          <w:szCs w:val="24"/>
        </w:rPr>
        <w:t xml:space="preserve"> learned and used, however, is there any difference?  In both cases, </w:t>
      </w:r>
      <w:r w:rsidR="00B301AC">
        <w:rPr>
          <w:rFonts w:ascii="Californian FB" w:hAnsi="Californian FB" w:cs="Times New Roman"/>
          <w:color w:val="000000"/>
          <w:sz w:val="24"/>
          <w:szCs w:val="24"/>
        </w:rPr>
        <w:t xml:space="preserve">aren’t </w:t>
      </w:r>
      <w:r w:rsidR="00B501FB" w:rsidRPr="00E42C87">
        <w:rPr>
          <w:rFonts w:ascii="Californian FB" w:hAnsi="Californian FB" w:cs="Times New Roman"/>
          <w:color w:val="000000"/>
          <w:sz w:val="24"/>
          <w:szCs w:val="24"/>
        </w:rPr>
        <w:t>programmers learning what reusable terms mean, and how to put them together to accomplish various tasks</w:t>
      </w:r>
      <w:r w:rsidR="00B301AC">
        <w:rPr>
          <w:rFonts w:ascii="Californian FB" w:hAnsi="Californian FB" w:cs="Times New Roman"/>
          <w:color w:val="000000"/>
          <w:sz w:val="24"/>
          <w:szCs w:val="24"/>
        </w:rPr>
        <w:t>?</w:t>
      </w:r>
      <w:r w:rsidR="00B501FB" w:rsidRPr="00E42C87">
        <w:rPr>
          <w:rFonts w:ascii="Californian FB" w:hAnsi="Californian FB" w:cs="Times New Roman"/>
          <w:color w:val="000000"/>
          <w:sz w:val="24"/>
          <w:szCs w:val="24"/>
        </w:rPr>
        <w:t xml:space="preserve">  </w:t>
      </w:r>
      <w:r w:rsidR="00B501FB" w:rsidRPr="00E42C87">
        <w:rPr>
          <w:rFonts w:ascii="Californian FB" w:hAnsi="Californian FB" w:cs="Times New Roman"/>
          <w:b/>
          <w:bCs/>
          <w:color w:val="000000"/>
          <w:sz w:val="24"/>
          <w:szCs w:val="24"/>
        </w:rPr>
        <w:t xml:space="preserve">  </w:t>
      </w:r>
      <w:r w:rsidR="00B501FB" w:rsidRPr="00E42C87">
        <w:rPr>
          <w:rFonts w:ascii="Californian FB" w:hAnsi="Californian FB" w:cs="Times New Roman"/>
          <w:color w:val="000000"/>
          <w:sz w:val="24"/>
          <w:szCs w:val="24"/>
        </w:rPr>
        <w:t>No one has ever successfully claimed copyright protection in a language</w:t>
      </w:r>
      <w:r w:rsidR="00BF19AD">
        <w:rPr>
          <w:rFonts w:ascii="Californian FB" w:hAnsi="Californian FB" w:cs="Times New Roman"/>
          <w:color w:val="000000"/>
          <w:sz w:val="24"/>
          <w:szCs w:val="24"/>
        </w:rPr>
        <w:t xml:space="preserve">, even one that was created artificially, like Esperanto. Arguably, a language is not </w:t>
      </w:r>
      <w:r w:rsidR="00B501FB" w:rsidRPr="00E42C87">
        <w:rPr>
          <w:rFonts w:ascii="Californian FB" w:hAnsi="Californian FB" w:cs="Times New Roman"/>
          <w:color w:val="000000"/>
          <w:sz w:val="24"/>
          <w:szCs w:val="24"/>
        </w:rPr>
        <w:t xml:space="preserve">a “work of </w:t>
      </w:r>
      <w:proofErr w:type="gramStart"/>
      <w:r w:rsidR="00B501FB" w:rsidRPr="00E42C87">
        <w:rPr>
          <w:rFonts w:ascii="Californian FB" w:hAnsi="Californian FB" w:cs="Times New Roman"/>
          <w:color w:val="000000"/>
          <w:sz w:val="24"/>
          <w:szCs w:val="24"/>
        </w:rPr>
        <w:t xml:space="preserve">authorship”  </w:t>
      </w:r>
      <w:r w:rsidR="00BF19AD">
        <w:rPr>
          <w:rFonts w:ascii="Californian FB" w:hAnsi="Californian FB" w:cs="Times New Roman"/>
          <w:color w:val="000000"/>
          <w:sz w:val="24"/>
          <w:szCs w:val="24"/>
        </w:rPr>
        <w:t>because</w:t>
      </w:r>
      <w:proofErr w:type="gramEnd"/>
      <w:r w:rsidR="00BF19AD">
        <w:rPr>
          <w:rFonts w:ascii="Californian FB" w:hAnsi="Californian FB" w:cs="Times New Roman"/>
          <w:color w:val="000000"/>
          <w:sz w:val="24"/>
          <w:szCs w:val="24"/>
        </w:rPr>
        <w:t xml:space="preserve"> it</w:t>
      </w:r>
      <w:r w:rsidR="00B501FB" w:rsidRPr="00E42C87">
        <w:rPr>
          <w:rFonts w:ascii="Californian FB" w:hAnsi="Californian FB" w:cs="Times New Roman"/>
          <w:color w:val="000000"/>
          <w:sz w:val="24"/>
          <w:szCs w:val="24"/>
        </w:rPr>
        <w:t xml:space="preserve"> is not meant to be presented as a whole, but is rather meant to provide the building blocks for many different wholes. </w:t>
      </w:r>
      <w:r w:rsidR="00E254C5">
        <w:rPr>
          <w:rFonts w:ascii="Californian FB" w:hAnsi="Californian FB" w:cs="Times New Roman"/>
          <w:color w:val="000000"/>
          <w:sz w:val="24"/>
          <w:szCs w:val="24"/>
        </w:rPr>
        <w:t>Moreover, a</w:t>
      </w:r>
      <w:r w:rsidR="00B501FB" w:rsidRPr="00E42C87">
        <w:rPr>
          <w:rFonts w:ascii="Californian FB" w:hAnsi="Californian FB" w:cs="Times New Roman"/>
          <w:color w:val="000000"/>
          <w:sz w:val="24"/>
          <w:szCs w:val="24"/>
        </w:rPr>
        <w:t xml:space="preserve"> copyright in a language would presumably give the creator rights in any substantial expression created in that language, which would give that copyright vast breadth. And because learning a language takes time, people who have learned that language will find it difficult to switch. Justice Thomas argues that the Java declaring code is just like the script for a Broadway musical: it “needs actors and singers to invest time learning and rehearsing it,” but even though “copying the script is more efficient than requiring the actors to learn a new one,” we wouldn’t say that unauthorized copying of the script is fair use.  What do you think of Justice Thomas’s analogy? Is memorizing a script like more like learning reusable declaring code, or like learning a particular implementing </w:t>
      </w:r>
      <w:r w:rsidR="008654BE" w:rsidRPr="003D7E14">
        <w:rPr>
          <w:rFonts w:ascii="Californian FB" w:hAnsi="Californian FB"/>
          <w:noProof/>
          <w:color w:val="000000"/>
          <w:sz w:val="24"/>
          <w:szCs w:val="24"/>
        </w:rPr>
        <w:lastRenderedPageBreak/>
        <mc:AlternateContent>
          <mc:Choice Requires="wps">
            <w:drawing>
              <wp:anchor distT="0" distB="0" distL="114300" distR="114300" simplePos="0" relativeHeight="251757568" behindDoc="1" locked="0" layoutInCell="1" allowOverlap="1" wp14:anchorId="1D3F9C3E" wp14:editId="223693BB">
                <wp:simplePos x="0" y="0"/>
                <wp:positionH relativeFrom="column">
                  <wp:posOffset>3414712</wp:posOffset>
                </wp:positionH>
                <wp:positionV relativeFrom="page">
                  <wp:posOffset>903923</wp:posOffset>
                </wp:positionV>
                <wp:extent cx="2494915" cy="2900680"/>
                <wp:effectExtent l="0" t="0" r="635" b="0"/>
                <wp:wrapTight wrapText="bothSides">
                  <wp:wrapPolygon edited="0">
                    <wp:start x="0" y="0"/>
                    <wp:lineTo x="0" y="21420"/>
                    <wp:lineTo x="21441" y="21420"/>
                    <wp:lineTo x="21441" y="0"/>
                    <wp:lineTo x="0" y="0"/>
                  </wp:wrapPolygon>
                </wp:wrapTight>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900680"/>
                        </a:xfrm>
                        <a:prstGeom prst="rect">
                          <a:avLst/>
                        </a:prstGeom>
                        <a:solidFill>
                          <a:srgbClr val="B8CCE4"/>
                        </a:solidFill>
                        <a:ln w="9525">
                          <a:noFill/>
                          <a:miter lim="800000"/>
                          <a:headEnd/>
                          <a:tailEnd/>
                        </a:ln>
                      </wps:spPr>
                      <wps:txbx>
                        <w:txbxContent>
                          <w:p w14:paraId="0C1D899A" w14:textId="77777777" w:rsidR="008654BE" w:rsidRPr="00033D51" w:rsidRDefault="008654BE" w:rsidP="008654BE">
                            <w:pPr>
                              <w:spacing w:after="120"/>
                              <w:jc w:val="center"/>
                              <w:rPr>
                                <w:rFonts w:ascii="Californian FB" w:hAnsi="Californian FB"/>
                                <w:b/>
                                <w:sz w:val="20"/>
                                <w:szCs w:val="20"/>
                              </w:rPr>
                            </w:pPr>
                            <w:r w:rsidRPr="00033D51">
                              <w:rPr>
                                <w:rFonts w:ascii="Californian FB" w:hAnsi="Californian FB"/>
                                <w:b/>
                                <w:sz w:val="20"/>
                                <w:szCs w:val="20"/>
                              </w:rPr>
                              <w:t>GO ONLINE</w:t>
                            </w:r>
                          </w:p>
                          <w:p w14:paraId="64349B1B" w14:textId="77777777" w:rsidR="008654BE" w:rsidRDefault="008654BE" w:rsidP="008654BE">
                            <w:pPr>
                              <w:spacing w:after="120"/>
                              <w:jc w:val="both"/>
                              <w:rPr>
                                <w:rFonts w:ascii="Californian FB" w:hAnsi="Californian FB"/>
                                <w:sz w:val="20"/>
                                <w:szCs w:val="20"/>
                              </w:rPr>
                            </w:pPr>
                            <w:r>
                              <w:rPr>
                                <w:rFonts w:ascii="Californian FB" w:hAnsi="Californian FB"/>
                                <w:sz w:val="20"/>
                                <w:szCs w:val="20"/>
                              </w:rPr>
                              <w:t>By one estimate, learning lines for a play takes “</w:t>
                            </w:r>
                            <w:hyperlink r:id="rId98" w:history="1">
                              <w:r>
                                <w:rPr>
                                  <w:rStyle w:val="Hyperlink"/>
                                  <w:rFonts w:ascii="Californian FB" w:hAnsi="Californian FB"/>
                                  <w:sz w:val="20"/>
                                  <w:szCs w:val="20"/>
                                </w:rPr>
                                <w:t>fo</w:t>
                              </w:r>
                              <w:r w:rsidRPr="00B6773A">
                                <w:rPr>
                                  <w:rStyle w:val="Hyperlink"/>
                                  <w:rFonts w:ascii="Californian FB" w:hAnsi="Californian FB"/>
                                  <w:sz w:val="20"/>
                                  <w:szCs w:val="20"/>
                                </w:rPr>
                                <w:t xml:space="preserve">r beginners, 6-8 weeks; </w:t>
                              </w:r>
                              <w:r>
                                <w:rPr>
                                  <w:rStyle w:val="Hyperlink"/>
                                  <w:rFonts w:ascii="Californian FB" w:hAnsi="Californian FB"/>
                                  <w:sz w:val="20"/>
                                  <w:szCs w:val="20"/>
                                </w:rPr>
                                <w:t>f</w:t>
                              </w:r>
                              <w:r w:rsidRPr="00B6773A">
                                <w:rPr>
                                  <w:rStyle w:val="Hyperlink"/>
                                  <w:rFonts w:ascii="Californian FB" w:hAnsi="Californian FB"/>
                                  <w:sz w:val="20"/>
                                  <w:szCs w:val="20"/>
                                </w:rPr>
                                <w:t xml:space="preserve">or average actors, 4-6 weeks; </w:t>
                              </w:r>
                              <w:r>
                                <w:rPr>
                                  <w:rStyle w:val="Hyperlink"/>
                                  <w:rFonts w:ascii="Californian FB" w:hAnsi="Californian FB"/>
                                  <w:sz w:val="20"/>
                                  <w:szCs w:val="20"/>
                                </w:rPr>
                                <w:t>f</w:t>
                              </w:r>
                              <w:r w:rsidRPr="00B6773A">
                                <w:rPr>
                                  <w:rStyle w:val="Hyperlink"/>
                                  <w:rFonts w:ascii="Californian FB" w:hAnsi="Californian FB"/>
                                  <w:sz w:val="20"/>
                                  <w:szCs w:val="20"/>
                                </w:rPr>
                                <w:t>or profession</w:t>
                              </w:r>
                              <w:r>
                                <w:rPr>
                                  <w:rStyle w:val="Hyperlink"/>
                                  <w:rFonts w:ascii="Californian FB" w:hAnsi="Californian FB"/>
                                  <w:sz w:val="20"/>
                                  <w:szCs w:val="20"/>
                                </w:rPr>
                                <w:t>al</w:t>
                              </w:r>
                              <w:r w:rsidRPr="00B6773A">
                                <w:rPr>
                                  <w:rStyle w:val="Hyperlink"/>
                                  <w:rFonts w:ascii="Californian FB" w:hAnsi="Californian FB"/>
                                  <w:sz w:val="20"/>
                                  <w:szCs w:val="20"/>
                                </w:rPr>
                                <w:t xml:space="preserve"> actors, 2-4 weeks</w:t>
                              </w:r>
                            </w:hyperlink>
                            <w:r>
                              <w:rPr>
                                <w:rFonts w:ascii="Californian FB" w:hAnsi="Californian FB"/>
                                <w:sz w:val="20"/>
                                <w:szCs w:val="20"/>
                              </w:rPr>
                              <w:t xml:space="preserve">.” By comparison, </w:t>
                            </w:r>
                            <w:hyperlink r:id="rId99" w:history="1">
                              <w:r w:rsidRPr="00B6773A">
                                <w:rPr>
                                  <w:rStyle w:val="Hyperlink"/>
                                  <w:rFonts w:ascii="Californian FB" w:hAnsi="Californian FB"/>
                                  <w:sz w:val="20"/>
                                  <w:szCs w:val="20"/>
                                </w:rPr>
                                <w:t>“[o]n average, becoming a confident Java programmer takes about 1–2 years, considering you spend 2–3 hours per day practicing coding.</w:t>
                              </w:r>
                            </w:hyperlink>
                            <w:r>
                              <w:rPr>
                                <w:rFonts w:ascii="Californian FB" w:hAnsi="Californian FB"/>
                                <w:sz w:val="20"/>
                                <w:szCs w:val="20"/>
                              </w:rPr>
                              <w:t xml:space="preserve">”  Does the difference between those two put Justice Thomas’s comparison in a new light? In terms of gauging the comparative economic impact of copyright protection, note also that while the Court states that about 6 million programmers have learned Java, the Bureau of Labor Statistics estimates that </w:t>
                            </w:r>
                            <w:hyperlink r:id="rId100" w:history="1">
                              <w:r w:rsidRPr="00C9485F">
                                <w:rPr>
                                  <w:rStyle w:val="Hyperlink"/>
                                  <w:rFonts w:ascii="Californian FB" w:hAnsi="Californian FB"/>
                                  <w:sz w:val="20"/>
                                  <w:szCs w:val="20"/>
                                </w:rPr>
                                <w:t>as of May 2020, there were about 44,460 professional actors in the United States</w:t>
                              </w:r>
                            </w:hyperlink>
                            <w:r>
                              <w:rPr>
                                <w:rFonts w:ascii="Californian FB" w:hAnsi="Californian FB"/>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3F9C3E" id="_x0000_s1034" type="#_x0000_t202" style="position:absolute;left:0;text-align:left;margin-left:268.85pt;margin-top:71.2pt;width:196.45pt;height:228.4pt;z-index:-2515589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" fillcolor="#b8cce4" stroked="f">
                <v:textbox style="mso-fit-shape-to-text:t">
                  <w:txbxContent>
                    <w:p w14:paraId="0C1D899A" w14:textId="77777777" w:rsidR="008654BE" w:rsidRPr="00033D51" w:rsidRDefault="008654BE" w:rsidP="008654BE">
                      <w:pPr>
                        <w:spacing w:after="120"/>
                        <w:jc w:val="center"/>
                        <w:rPr>
                          <w:rFonts w:ascii="Californian FB" w:hAnsi="Californian FB"/>
                          <w:b/>
                          <w:sz w:val="20"/>
                          <w:szCs w:val="20"/>
                        </w:rPr>
                      </w:pPr>
                      <w:r w:rsidRPr="00033D51">
                        <w:rPr>
                          <w:rFonts w:ascii="Californian FB" w:hAnsi="Californian FB"/>
                          <w:b/>
                          <w:sz w:val="20"/>
                          <w:szCs w:val="20"/>
                        </w:rPr>
                        <w:t>GO ONLINE</w:t>
                      </w:r>
                    </w:p>
                    <w:p w14:paraId="64349B1B" w14:textId="77777777" w:rsidR="008654BE" w:rsidRDefault="008654BE" w:rsidP="008654BE">
                      <w:pPr>
                        <w:spacing w:after="120"/>
                        <w:jc w:val="both"/>
                        <w:rPr>
                          <w:rFonts w:ascii="Californian FB" w:hAnsi="Californian FB"/>
                          <w:sz w:val="20"/>
                          <w:szCs w:val="20"/>
                        </w:rPr>
                      </w:pPr>
                      <w:r>
                        <w:rPr>
                          <w:rFonts w:ascii="Californian FB" w:hAnsi="Californian FB"/>
                          <w:sz w:val="20"/>
                          <w:szCs w:val="20"/>
                        </w:rPr>
                        <w:t>By one estimate, learning lines for a play takes “</w:t>
                      </w:r>
                      <w:hyperlink r:id="rId101" w:history="1">
                        <w:r>
                          <w:rPr>
                            <w:rStyle w:val="Hyperlink"/>
                            <w:rFonts w:ascii="Californian FB" w:hAnsi="Californian FB"/>
                            <w:sz w:val="20"/>
                            <w:szCs w:val="20"/>
                          </w:rPr>
                          <w:t>fo</w:t>
                        </w:r>
                        <w:r w:rsidRPr="00B6773A">
                          <w:rPr>
                            <w:rStyle w:val="Hyperlink"/>
                            <w:rFonts w:ascii="Californian FB" w:hAnsi="Californian FB"/>
                            <w:sz w:val="20"/>
                            <w:szCs w:val="20"/>
                          </w:rPr>
                          <w:t xml:space="preserve">r beginners, 6-8 weeks; </w:t>
                        </w:r>
                        <w:r>
                          <w:rPr>
                            <w:rStyle w:val="Hyperlink"/>
                            <w:rFonts w:ascii="Californian FB" w:hAnsi="Californian FB"/>
                            <w:sz w:val="20"/>
                            <w:szCs w:val="20"/>
                          </w:rPr>
                          <w:t>f</w:t>
                        </w:r>
                        <w:r w:rsidRPr="00B6773A">
                          <w:rPr>
                            <w:rStyle w:val="Hyperlink"/>
                            <w:rFonts w:ascii="Californian FB" w:hAnsi="Californian FB"/>
                            <w:sz w:val="20"/>
                            <w:szCs w:val="20"/>
                          </w:rPr>
                          <w:t xml:space="preserve">or average actors, 4-6 weeks; </w:t>
                        </w:r>
                        <w:r>
                          <w:rPr>
                            <w:rStyle w:val="Hyperlink"/>
                            <w:rFonts w:ascii="Californian FB" w:hAnsi="Californian FB"/>
                            <w:sz w:val="20"/>
                            <w:szCs w:val="20"/>
                          </w:rPr>
                          <w:t>f</w:t>
                        </w:r>
                        <w:r w:rsidRPr="00B6773A">
                          <w:rPr>
                            <w:rStyle w:val="Hyperlink"/>
                            <w:rFonts w:ascii="Californian FB" w:hAnsi="Californian FB"/>
                            <w:sz w:val="20"/>
                            <w:szCs w:val="20"/>
                          </w:rPr>
                          <w:t>or profession</w:t>
                        </w:r>
                        <w:r>
                          <w:rPr>
                            <w:rStyle w:val="Hyperlink"/>
                            <w:rFonts w:ascii="Californian FB" w:hAnsi="Californian FB"/>
                            <w:sz w:val="20"/>
                            <w:szCs w:val="20"/>
                          </w:rPr>
                          <w:t>al</w:t>
                        </w:r>
                        <w:r w:rsidRPr="00B6773A">
                          <w:rPr>
                            <w:rStyle w:val="Hyperlink"/>
                            <w:rFonts w:ascii="Californian FB" w:hAnsi="Californian FB"/>
                            <w:sz w:val="20"/>
                            <w:szCs w:val="20"/>
                          </w:rPr>
                          <w:t xml:space="preserve"> actors, 2-4 weeks</w:t>
                        </w:r>
                      </w:hyperlink>
                      <w:r>
                        <w:rPr>
                          <w:rFonts w:ascii="Californian FB" w:hAnsi="Californian FB"/>
                          <w:sz w:val="20"/>
                          <w:szCs w:val="20"/>
                        </w:rPr>
                        <w:t xml:space="preserve">.” By comparison, </w:t>
                      </w:r>
                      <w:hyperlink r:id="rId102" w:history="1">
                        <w:r w:rsidRPr="00B6773A">
                          <w:rPr>
                            <w:rStyle w:val="Hyperlink"/>
                            <w:rFonts w:ascii="Californian FB" w:hAnsi="Californian FB"/>
                            <w:sz w:val="20"/>
                            <w:szCs w:val="20"/>
                          </w:rPr>
                          <w:t>“[o]n average, becoming a confident Java programmer takes about 1–2 years, considering you spend 2–3 hours per day practicing coding.</w:t>
                        </w:r>
                      </w:hyperlink>
                      <w:r>
                        <w:rPr>
                          <w:rFonts w:ascii="Californian FB" w:hAnsi="Californian FB"/>
                          <w:sz w:val="20"/>
                          <w:szCs w:val="20"/>
                        </w:rPr>
                        <w:t xml:space="preserve">”  Does the difference between those two put Justice Thomas’s comparison in a new light? In terms of gauging the comparative economic impact of copyright protection, note also that while the Court states that about 6 million programmers have learned Java, the Bureau of Labor Statistics estimates that </w:t>
                      </w:r>
                      <w:hyperlink r:id="rId103" w:history="1">
                        <w:r w:rsidRPr="00C9485F">
                          <w:rPr>
                            <w:rStyle w:val="Hyperlink"/>
                            <w:rFonts w:ascii="Californian FB" w:hAnsi="Californian FB"/>
                            <w:sz w:val="20"/>
                            <w:szCs w:val="20"/>
                          </w:rPr>
                          <w:t>as of May 2020, there were about 44,460 professional actors in the United States</w:t>
                        </w:r>
                      </w:hyperlink>
                      <w:r>
                        <w:rPr>
                          <w:rFonts w:ascii="Californian FB" w:hAnsi="Californian FB"/>
                          <w:sz w:val="20"/>
                          <w:szCs w:val="20"/>
                        </w:rPr>
                        <w:t>.</w:t>
                      </w:r>
                    </w:p>
                  </w:txbxContent>
                </v:textbox>
                <w10:wrap type="tight" anchory="page"/>
              </v:shape>
            </w:pict>
          </mc:Fallback>
        </mc:AlternateContent>
      </w:r>
      <w:r w:rsidR="00B501FB" w:rsidRPr="00E42C87">
        <w:rPr>
          <w:rFonts w:ascii="Californian FB" w:hAnsi="Californian FB" w:cs="Times New Roman"/>
          <w:color w:val="000000"/>
          <w:sz w:val="24"/>
          <w:szCs w:val="24"/>
        </w:rPr>
        <w:t>program?  If the Court is really concerned about copyright in a language, should it have addressed the issue of copyrightability directly, or is it fine just to weigh it in a fair use analysis?</w:t>
      </w:r>
    </w:p>
    <w:p w14:paraId="37F5C088" w14:textId="06DA0573" w:rsidR="00B501FB" w:rsidRDefault="004A64EF" w:rsidP="00B501FB">
      <w:pPr>
        <w:autoSpaceDE w:val="0"/>
        <w:autoSpaceDN w:val="0"/>
        <w:adjustRightInd w:val="0"/>
        <w:spacing w:after="0"/>
        <w:ind w:left="360" w:hanging="360"/>
        <w:jc w:val="both"/>
        <w:rPr>
          <w:rFonts w:ascii="Californian FB" w:hAnsi="Californian FB" w:cs="BerkeleyStd-Book"/>
          <w:sz w:val="24"/>
          <w:szCs w:val="24"/>
        </w:rPr>
      </w:pPr>
      <w:r>
        <w:rPr>
          <w:rFonts w:ascii="Californian FB" w:hAnsi="Californian FB" w:cs="Times New Roman"/>
          <w:b/>
          <w:bCs/>
          <w:color w:val="000000"/>
          <w:sz w:val="24"/>
          <w:szCs w:val="24"/>
        </w:rPr>
        <w:t>5</w:t>
      </w:r>
      <w:r w:rsidR="00B501FB" w:rsidRPr="00E42C87">
        <w:rPr>
          <w:rFonts w:ascii="Californian FB" w:hAnsi="Californian FB" w:cs="Times New Roman"/>
          <w:b/>
          <w:bCs/>
          <w:color w:val="000000"/>
          <w:sz w:val="24"/>
          <w:szCs w:val="24"/>
        </w:rPr>
        <w:t xml:space="preserve">.  </w:t>
      </w:r>
      <w:proofErr w:type="spellStart"/>
      <w:r w:rsidR="00B501FB" w:rsidRPr="00E42C87">
        <w:rPr>
          <w:rFonts w:ascii="Californian FB" w:hAnsi="Californian FB" w:cs="Times New Roman"/>
          <w:b/>
          <w:bCs/>
          <w:color w:val="000000"/>
          <w:sz w:val="24"/>
          <w:szCs w:val="24"/>
        </w:rPr>
        <w:t>Transformativeness</w:t>
      </w:r>
      <w:proofErr w:type="spellEnd"/>
      <w:r w:rsidR="00B501FB" w:rsidRPr="00E42C87">
        <w:rPr>
          <w:rFonts w:ascii="Californian FB" w:hAnsi="Californian FB" w:cs="Times New Roman"/>
          <w:b/>
          <w:bCs/>
          <w:color w:val="000000"/>
          <w:sz w:val="24"/>
          <w:szCs w:val="24"/>
        </w:rPr>
        <w:t xml:space="preserve"> – </w:t>
      </w:r>
      <w:r w:rsidR="00B501FB">
        <w:rPr>
          <w:rFonts w:ascii="Californian FB" w:hAnsi="Californian FB" w:cs="Times New Roman"/>
          <w:b/>
          <w:bCs/>
          <w:color w:val="000000"/>
          <w:sz w:val="24"/>
          <w:szCs w:val="24"/>
        </w:rPr>
        <w:t>even broader?</w:t>
      </w:r>
      <w:r w:rsidR="00B501FB" w:rsidRPr="00E42C87">
        <w:rPr>
          <w:rFonts w:ascii="Californian FB" w:hAnsi="Californian FB" w:cs="Times New Roman"/>
          <w:b/>
          <w:bCs/>
          <w:color w:val="000000"/>
          <w:sz w:val="24"/>
          <w:szCs w:val="24"/>
        </w:rPr>
        <w:t xml:space="preserve">  </w:t>
      </w:r>
      <w:r w:rsidR="00B501FB" w:rsidRPr="00E42C87">
        <w:rPr>
          <w:rFonts w:ascii="Californian FB" w:hAnsi="Californian FB" w:cs="Times New Roman"/>
          <w:color w:val="000000"/>
          <w:sz w:val="24"/>
          <w:szCs w:val="24"/>
        </w:rPr>
        <w:t>When the Supreme Court first drew on the concept of “</w:t>
      </w:r>
      <w:proofErr w:type="spellStart"/>
      <w:r w:rsidR="00B501FB" w:rsidRPr="00E42C87">
        <w:rPr>
          <w:rFonts w:ascii="Californian FB" w:hAnsi="Californian FB" w:cs="Times New Roman"/>
          <w:color w:val="000000"/>
          <w:sz w:val="24"/>
          <w:szCs w:val="24"/>
        </w:rPr>
        <w:t>transformativeness</w:t>
      </w:r>
      <w:proofErr w:type="spellEnd"/>
      <w:r w:rsidR="00B501FB" w:rsidRPr="00E42C87">
        <w:rPr>
          <w:rFonts w:ascii="Californian FB" w:hAnsi="Californian FB" w:cs="Times New Roman"/>
          <w:color w:val="000000"/>
          <w:sz w:val="24"/>
          <w:szCs w:val="24"/>
        </w:rPr>
        <w:t>” in</w:t>
      </w:r>
      <w:r w:rsidR="00B501FB">
        <w:rPr>
          <w:rFonts w:ascii="Californian FB" w:hAnsi="Californian FB" w:cs="Times New Roman"/>
          <w:color w:val="000000"/>
          <w:sz w:val="24"/>
          <w:szCs w:val="24"/>
        </w:rPr>
        <w:t xml:space="preserve"> the 1994 case of </w:t>
      </w:r>
      <w:r w:rsidR="00B501FB" w:rsidRPr="00E42C87">
        <w:rPr>
          <w:rFonts w:ascii="Californian FB" w:hAnsi="Californian FB" w:cs="Times New Roman"/>
          <w:i/>
          <w:iCs/>
          <w:color w:val="000000"/>
          <w:sz w:val="24"/>
          <w:szCs w:val="24"/>
        </w:rPr>
        <w:t xml:space="preserve">Campbell v. Acuff-Rose Music, Inc. </w:t>
      </w:r>
      <w:r w:rsidR="00B501FB" w:rsidRPr="00E42C87">
        <w:rPr>
          <w:rFonts w:ascii="Californian FB" w:hAnsi="Californian FB" w:cs="Times New Roman"/>
          <w:color w:val="000000"/>
          <w:sz w:val="24"/>
          <w:szCs w:val="24"/>
        </w:rPr>
        <w:t>(casebook p. 338), it focused on uses that “</w:t>
      </w:r>
      <w:r w:rsidR="00B501FB" w:rsidRPr="00E42C87">
        <w:rPr>
          <w:rFonts w:ascii="Californian FB" w:hAnsi="Californian FB" w:cs="BerkeleyStd-Book"/>
          <w:sz w:val="24"/>
          <w:szCs w:val="24"/>
        </w:rPr>
        <w:t>alter[ed] the [work used] with new expression, meaning, or message.”</w:t>
      </w:r>
      <w:r w:rsidR="00B501FB">
        <w:rPr>
          <w:rFonts w:ascii="Californian FB" w:hAnsi="Californian FB" w:cs="BerkeleyStd-Book"/>
          <w:sz w:val="24"/>
          <w:szCs w:val="24"/>
        </w:rPr>
        <w:t xml:space="preserve"> 2 Live Crew’s parody of Roy Orbison’s “Oh Pretty Woman” was “transformative” because it commented on the latter by changing it and adding new lyrics and new musical elements. When Judge Pierre </w:t>
      </w:r>
      <w:proofErr w:type="spellStart"/>
      <w:r w:rsidR="00B501FB">
        <w:rPr>
          <w:rFonts w:ascii="Californian FB" w:hAnsi="Californian FB" w:cs="BerkeleyStd-Book"/>
          <w:sz w:val="24"/>
          <w:szCs w:val="24"/>
        </w:rPr>
        <w:t>Leval</w:t>
      </w:r>
      <w:proofErr w:type="spellEnd"/>
      <w:r w:rsidR="00B501FB">
        <w:rPr>
          <w:rFonts w:ascii="Californian FB" w:hAnsi="Californian FB" w:cs="BerkeleyStd-Book"/>
          <w:sz w:val="24"/>
          <w:szCs w:val="24"/>
        </w:rPr>
        <w:t xml:space="preserve">, originator of the term, applied it in the 2015 case of (casebook p. 377), </w:t>
      </w:r>
      <w:r w:rsidR="00B501FB">
        <w:rPr>
          <w:rFonts w:ascii="Californian FB" w:hAnsi="Californian FB" w:cs="BerkeleyStd-Book"/>
          <w:i/>
          <w:iCs/>
          <w:sz w:val="24"/>
          <w:szCs w:val="24"/>
        </w:rPr>
        <w:t>Author’s Guild v. Google</w:t>
      </w:r>
      <w:r w:rsidR="00B501FB">
        <w:rPr>
          <w:rFonts w:ascii="Californian FB" w:hAnsi="Californian FB" w:cs="BerkeleyStd-Book"/>
          <w:sz w:val="24"/>
          <w:szCs w:val="24"/>
        </w:rPr>
        <w:t xml:space="preserve">, he did not require “new expression,” because Google’s project contributed none: Google was copying entire books verbatim. Rather, opined Judge </w:t>
      </w:r>
      <w:proofErr w:type="spellStart"/>
      <w:r w:rsidR="00B501FB">
        <w:rPr>
          <w:rFonts w:ascii="Californian FB" w:hAnsi="Californian FB" w:cs="BerkeleyStd-Book"/>
          <w:sz w:val="24"/>
          <w:szCs w:val="24"/>
        </w:rPr>
        <w:t>Leval</w:t>
      </w:r>
      <w:proofErr w:type="spellEnd"/>
      <w:r w:rsidR="00B501FB">
        <w:rPr>
          <w:rFonts w:ascii="Californian FB" w:hAnsi="Californian FB" w:cs="BerkeleyStd-Book"/>
          <w:sz w:val="24"/>
          <w:szCs w:val="24"/>
        </w:rPr>
        <w:t xml:space="preserve">, Google’s project was transformative because it provided otherwise unavailable information about the works copied, namely, whether or not those works contained certain terms or strings of terms.  That information did not overlap with those works’ expressive content enough to infringe that content.  In </w:t>
      </w:r>
      <w:r w:rsidR="00B501FB">
        <w:rPr>
          <w:rFonts w:ascii="Californian FB" w:hAnsi="Californian FB" w:cs="BerkeleyStd-Book"/>
          <w:i/>
          <w:iCs/>
          <w:sz w:val="24"/>
          <w:szCs w:val="24"/>
        </w:rPr>
        <w:t>Oracle America</w:t>
      </w:r>
      <w:r w:rsidR="00B501FB">
        <w:rPr>
          <w:rFonts w:ascii="Californian FB" w:hAnsi="Californian FB" w:cs="BerkeleyStd-Book"/>
          <w:sz w:val="24"/>
          <w:szCs w:val="24"/>
        </w:rPr>
        <w:t>, the Court suggests that Google’s use of Java declaring code is “transformative” because it “seeks to create new products,” namely, smartphones, devices for which Java as a whole may not have been particularly well suited. Does that broaden the concept of “</w:t>
      </w:r>
      <w:proofErr w:type="spellStart"/>
      <w:r w:rsidR="00B501FB">
        <w:rPr>
          <w:rFonts w:ascii="Californian FB" w:hAnsi="Californian FB" w:cs="BerkeleyStd-Book"/>
          <w:sz w:val="24"/>
          <w:szCs w:val="24"/>
        </w:rPr>
        <w:t>transformativeness</w:t>
      </w:r>
      <w:proofErr w:type="spellEnd"/>
      <w:r w:rsidR="00B501FB">
        <w:rPr>
          <w:rFonts w:ascii="Californian FB" w:hAnsi="Californian FB" w:cs="BerkeleyStd-Book"/>
          <w:sz w:val="24"/>
          <w:szCs w:val="24"/>
        </w:rPr>
        <w:t>” further, and is that broadening defensible?  Justice Thomas argues that “Google used the declaring code for the same exact purpose as Oracle did” – to allow programmers to accomplish particular tasks with terms that were memorable individually and as groups.  Do you agree?</w:t>
      </w:r>
    </w:p>
    <w:p w14:paraId="69E7E72A" w14:textId="77777777" w:rsidR="00B501FB" w:rsidRDefault="00B501FB" w:rsidP="00B501FB">
      <w:pPr>
        <w:autoSpaceDE w:val="0"/>
        <w:autoSpaceDN w:val="0"/>
        <w:adjustRightInd w:val="0"/>
        <w:spacing w:after="0"/>
        <w:ind w:left="360" w:hanging="360"/>
        <w:jc w:val="both"/>
        <w:rPr>
          <w:rFonts w:ascii="Californian FB" w:hAnsi="Californian FB" w:cs="BerkeleyStd-Book"/>
          <w:sz w:val="24"/>
          <w:szCs w:val="24"/>
        </w:rPr>
      </w:pPr>
    </w:p>
    <w:p w14:paraId="3907657E" w14:textId="5397DC7B" w:rsidR="00B501FB" w:rsidRPr="00687EA4" w:rsidRDefault="004A64EF" w:rsidP="00B501FB">
      <w:pPr>
        <w:autoSpaceDE w:val="0"/>
        <w:autoSpaceDN w:val="0"/>
        <w:adjustRightInd w:val="0"/>
        <w:spacing w:after="0"/>
        <w:ind w:left="360" w:hanging="360"/>
        <w:jc w:val="both"/>
        <w:rPr>
          <w:rFonts w:ascii="Californian FB" w:hAnsi="Californian FB" w:cs="BerkeleyStd-Book"/>
          <w:sz w:val="24"/>
          <w:szCs w:val="24"/>
        </w:rPr>
      </w:pPr>
      <w:r>
        <w:rPr>
          <w:rFonts w:ascii="Californian FB" w:hAnsi="Californian FB" w:cs="BerkeleyStd-Book"/>
          <w:b/>
          <w:bCs/>
          <w:sz w:val="24"/>
          <w:szCs w:val="24"/>
        </w:rPr>
        <w:t>6</w:t>
      </w:r>
      <w:r w:rsidR="00BF19AD">
        <w:rPr>
          <w:rFonts w:ascii="Californian FB" w:hAnsi="Californian FB" w:cs="BerkeleyStd-Book"/>
          <w:b/>
          <w:bCs/>
          <w:sz w:val="24"/>
          <w:szCs w:val="24"/>
        </w:rPr>
        <w:t>.</w:t>
      </w:r>
      <w:r w:rsidR="00B501FB">
        <w:rPr>
          <w:rFonts w:ascii="Californian FB" w:hAnsi="Californian FB" w:cs="BerkeleyStd-Book"/>
          <w:b/>
          <w:bCs/>
          <w:sz w:val="24"/>
          <w:szCs w:val="24"/>
        </w:rPr>
        <w:t xml:space="preserve">   Those pesky partial-work licensing markets.  </w:t>
      </w:r>
      <w:r w:rsidR="00B501FB">
        <w:rPr>
          <w:rFonts w:ascii="Californian FB" w:hAnsi="Californian FB" w:cs="BerkeleyStd-Book"/>
          <w:sz w:val="24"/>
          <w:szCs w:val="24"/>
        </w:rPr>
        <w:t xml:space="preserve">On the Court’s view – deferring to the jury on findings of fact – Google’s use of part of the Java declaring code in Android did not affect the market for and value of Java SE, because the market for Java SE had little overlap with the market for Android.  While Android was designed for smartphones and other sophisticated mobile devices like the Kindle Fire, Java SE worked better with desktops, laptops, and simple mobile devices like “feature phones” and the original Kindle.  However, factor four concerns not just actual markets, but “potential markets,” and does not exclude licensing markets.  Thus, how should we treat Oracle’s claim that loss of revenues from licensing Java declaring code should be taken into account in factor four?  Recall that both </w:t>
      </w:r>
      <w:r w:rsidR="00B501FB">
        <w:rPr>
          <w:rFonts w:ascii="Californian FB" w:hAnsi="Californian FB" w:cs="BerkeleyStd-Book"/>
          <w:i/>
          <w:iCs/>
          <w:sz w:val="24"/>
          <w:szCs w:val="24"/>
        </w:rPr>
        <w:t>Princeton University Press v. Michigan Document Services</w:t>
      </w:r>
      <w:r w:rsidR="00B501FB">
        <w:rPr>
          <w:rFonts w:ascii="Californian FB" w:hAnsi="Californian FB" w:cs="BerkeleyStd-Book"/>
          <w:sz w:val="24"/>
          <w:szCs w:val="24"/>
        </w:rPr>
        <w:t xml:space="preserve"> (casebook p. 356) and </w:t>
      </w:r>
      <w:r w:rsidR="00B501FB">
        <w:rPr>
          <w:rFonts w:ascii="Californian FB" w:hAnsi="Californian FB" w:cs="BerkeleyStd-Book"/>
          <w:i/>
          <w:iCs/>
          <w:sz w:val="24"/>
          <w:szCs w:val="24"/>
        </w:rPr>
        <w:t xml:space="preserve">Authors Guild v. Google </w:t>
      </w:r>
      <w:r w:rsidR="00B501FB">
        <w:rPr>
          <w:rFonts w:ascii="Californian FB" w:hAnsi="Californian FB" w:cs="BerkeleyStd-Book"/>
          <w:sz w:val="24"/>
          <w:szCs w:val="24"/>
        </w:rPr>
        <w:t xml:space="preserve">(casebook p. </w:t>
      </w:r>
      <w:r>
        <w:rPr>
          <w:rFonts w:ascii="Californian FB" w:hAnsi="Californian FB" w:cs="BerkeleyStd-Book"/>
          <w:sz w:val="24"/>
          <w:szCs w:val="24"/>
        </w:rPr>
        <w:t>377</w:t>
      </w:r>
      <w:r w:rsidR="00B501FB">
        <w:rPr>
          <w:rFonts w:ascii="Californian FB" w:hAnsi="Californian FB" w:cs="BerkeleyStd-Book"/>
          <w:sz w:val="24"/>
          <w:szCs w:val="24"/>
        </w:rPr>
        <w:t>) dealt with claims of los</w:t>
      </w:r>
      <w:r w:rsidR="00172C23">
        <w:rPr>
          <w:rFonts w:ascii="Californian FB" w:hAnsi="Californian FB" w:cs="BerkeleyStd-Book"/>
          <w:sz w:val="24"/>
          <w:szCs w:val="24"/>
        </w:rPr>
        <w:t>t</w:t>
      </w:r>
      <w:r w:rsidR="00B501FB">
        <w:rPr>
          <w:rFonts w:ascii="Californian FB" w:hAnsi="Californian FB" w:cs="BerkeleyStd-Book"/>
          <w:sz w:val="24"/>
          <w:szCs w:val="24"/>
        </w:rPr>
        <w:t xml:space="preserve"> licensing revenue from uses of parts of the plaintiffs’ works. How did those courts approach those claims?  </w:t>
      </w:r>
      <w:r w:rsidR="00B501FB">
        <w:rPr>
          <w:rFonts w:ascii="Californian FB" w:hAnsi="Californian FB" w:cs="BerkeleyStd-Book"/>
          <w:i/>
          <w:iCs/>
          <w:sz w:val="24"/>
          <w:szCs w:val="24"/>
        </w:rPr>
        <w:t>Princeton University Press</w:t>
      </w:r>
      <w:r w:rsidR="00B501FB">
        <w:rPr>
          <w:rFonts w:ascii="Californian FB" w:hAnsi="Californian FB" w:cs="BerkeleyStd-Book"/>
          <w:sz w:val="24"/>
          <w:szCs w:val="24"/>
        </w:rPr>
        <w:t xml:space="preserve">, following an earlier case, asked whether the licensing market in question was a “traditional, reasonable, or likely to be developed market.”  How do the </w:t>
      </w:r>
      <w:r w:rsidR="00B501FB">
        <w:rPr>
          <w:rFonts w:ascii="Californian FB" w:hAnsi="Californian FB" w:cs="BerkeleyStd-Book"/>
          <w:i/>
          <w:iCs/>
          <w:sz w:val="24"/>
          <w:szCs w:val="24"/>
        </w:rPr>
        <w:t xml:space="preserve">Google v. Oracle America </w:t>
      </w:r>
      <w:r w:rsidR="00B501FB">
        <w:rPr>
          <w:rFonts w:ascii="Californian FB" w:hAnsi="Californian FB" w:cs="BerkeleyStd-Book"/>
          <w:sz w:val="24"/>
          <w:szCs w:val="24"/>
        </w:rPr>
        <w:t xml:space="preserve">facts measure up against that standard? </w:t>
      </w:r>
      <w:r w:rsidR="00B501FB">
        <w:rPr>
          <w:rFonts w:ascii="Californian FB" w:hAnsi="Californian FB" w:cs="BerkeleyStd-Book"/>
          <w:sz w:val="24"/>
          <w:szCs w:val="24"/>
        </w:rPr>
        <w:lastRenderedPageBreak/>
        <w:t xml:space="preserve">The </w:t>
      </w:r>
      <w:r w:rsidR="00B501FB">
        <w:rPr>
          <w:rFonts w:ascii="Californian FB" w:hAnsi="Californian FB" w:cs="BerkeleyStd-Book"/>
          <w:i/>
          <w:iCs/>
          <w:sz w:val="24"/>
          <w:szCs w:val="24"/>
        </w:rPr>
        <w:t xml:space="preserve">Authors Guild v. Google </w:t>
      </w:r>
      <w:r w:rsidR="00172C23">
        <w:rPr>
          <w:rFonts w:ascii="Californian FB" w:hAnsi="Californian FB" w:cs="BerkeleyStd-Book"/>
          <w:sz w:val="24"/>
          <w:szCs w:val="24"/>
        </w:rPr>
        <w:t xml:space="preserve">court </w:t>
      </w:r>
      <w:r w:rsidR="00B501FB">
        <w:rPr>
          <w:rFonts w:ascii="Californian FB" w:hAnsi="Californian FB" w:cs="BerkeleyStd-Book"/>
          <w:sz w:val="24"/>
          <w:szCs w:val="24"/>
        </w:rPr>
        <w:t>concludes that use of the “snippets” furnished as search results in a Google Book Search would normally not affect the market for the original books, and if it did, would most often affect the market for uncopyrightable contents of those books, such as facts.  How would application of that approach work out here?</w:t>
      </w:r>
    </w:p>
    <w:p w14:paraId="6BCD5AC7" w14:textId="77777777" w:rsidR="00B501FB" w:rsidRDefault="00B501FB" w:rsidP="00B501FB">
      <w:pPr>
        <w:autoSpaceDE w:val="0"/>
        <w:autoSpaceDN w:val="0"/>
        <w:adjustRightInd w:val="0"/>
        <w:spacing w:after="0"/>
        <w:ind w:left="360" w:hanging="360"/>
        <w:jc w:val="both"/>
        <w:rPr>
          <w:rFonts w:ascii="Californian FB" w:hAnsi="Californian FB" w:cs="BerkeleyStd-Book"/>
          <w:b/>
          <w:bCs/>
          <w:sz w:val="24"/>
          <w:szCs w:val="24"/>
        </w:rPr>
      </w:pPr>
    </w:p>
    <w:p w14:paraId="4020737D" w14:textId="22EABF01" w:rsidR="00B501FB" w:rsidRDefault="00B501FB" w:rsidP="00B501FB">
      <w:pPr>
        <w:autoSpaceDE w:val="0"/>
        <w:autoSpaceDN w:val="0"/>
        <w:adjustRightInd w:val="0"/>
        <w:spacing w:after="0"/>
        <w:ind w:left="360" w:hanging="360"/>
        <w:jc w:val="both"/>
        <w:rPr>
          <w:rFonts w:ascii="Californian FB" w:hAnsi="Californian FB" w:cs="BerkeleyStd-Book"/>
          <w:sz w:val="24"/>
          <w:szCs w:val="24"/>
        </w:rPr>
      </w:pPr>
      <w:r>
        <w:rPr>
          <w:rFonts w:ascii="Californian FB" w:hAnsi="Californian FB" w:cs="BerkeleyStd-Book"/>
          <w:b/>
          <w:bCs/>
          <w:sz w:val="24"/>
          <w:szCs w:val="24"/>
        </w:rPr>
        <w:t xml:space="preserve">7.  Should benefit to the public be weighed </w:t>
      </w:r>
      <w:r w:rsidRPr="00D1676C">
        <w:rPr>
          <w:rFonts w:ascii="Californian FB" w:hAnsi="Californian FB" w:cs="BerkeleyStd-Book"/>
          <w:b/>
          <w:bCs/>
          <w:sz w:val="24"/>
          <w:szCs w:val="24"/>
        </w:rPr>
        <w:t>under factor four?</w:t>
      </w:r>
      <w:r>
        <w:rPr>
          <w:rFonts w:ascii="Californian FB" w:hAnsi="Californian FB" w:cs="BerkeleyStd-Book"/>
          <w:b/>
          <w:bCs/>
          <w:sz w:val="24"/>
          <w:szCs w:val="24"/>
        </w:rPr>
        <w:t xml:space="preserve">  </w:t>
      </w:r>
      <w:r>
        <w:rPr>
          <w:rFonts w:ascii="Californian FB" w:hAnsi="Californian FB" w:cs="BerkeleyStd-Book"/>
          <w:sz w:val="24"/>
          <w:szCs w:val="24"/>
        </w:rPr>
        <w:t xml:space="preserve">In previous fair use jurisprudence, the benefit of a use to the public has been considered principally, and perhaps </w:t>
      </w:r>
      <w:r w:rsidR="00172C23">
        <w:rPr>
          <w:rFonts w:ascii="Californian FB" w:hAnsi="Californian FB" w:cs="BerkeleyStd-Book"/>
          <w:sz w:val="24"/>
          <w:szCs w:val="24"/>
        </w:rPr>
        <w:t>exclusively</w:t>
      </w:r>
      <w:r>
        <w:rPr>
          <w:rFonts w:ascii="Californian FB" w:hAnsi="Californian FB" w:cs="BerkeleyStd-Book"/>
          <w:sz w:val="24"/>
          <w:szCs w:val="24"/>
        </w:rPr>
        <w:t xml:space="preserve">, under the first factor, “the purpose and character of the use.” In </w:t>
      </w:r>
      <w:r>
        <w:rPr>
          <w:rFonts w:ascii="Californian FB" w:hAnsi="Californian FB" w:cs="BerkeleyStd-Book"/>
          <w:i/>
          <w:iCs/>
          <w:sz w:val="24"/>
          <w:szCs w:val="24"/>
        </w:rPr>
        <w:t xml:space="preserve">Sony v. Universal City Studios </w:t>
      </w:r>
      <w:r>
        <w:rPr>
          <w:rFonts w:ascii="Californian FB" w:hAnsi="Californian FB" w:cs="BerkeleyStd-Book"/>
          <w:sz w:val="24"/>
          <w:szCs w:val="24"/>
        </w:rPr>
        <w:t>(casebook p. 304), for example, the Court concludes that “</w:t>
      </w:r>
      <w:proofErr w:type="spellStart"/>
      <w:r w:rsidRPr="00D1676C">
        <w:rPr>
          <w:rFonts w:ascii="Californian FB" w:hAnsi="Californian FB" w:cs="BerkeleyStd-Book"/>
          <w:sz w:val="24"/>
          <w:szCs w:val="24"/>
        </w:rPr>
        <w:t>timeshifting</w:t>
      </w:r>
      <w:proofErr w:type="spellEnd"/>
      <w:r w:rsidRPr="00D1676C">
        <w:rPr>
          <w:rFonts w:ascii="Californian FB" w:hAnsi="Californian FB" w:cs="BerkeleyStd-Book"/>
          <w:sz w:val="24"/>
          <w:szCs w:val="24"/>
        </w:rPr>
        <w:t xml:space="preserve"> </w:t>
      </w:r>
      <w:r>
        <w:rPr>
          <w:rFonts w:ascii="Californian FB" w:hAnsi="Californian FB" w:cs="BerkeleyStd-Book"/>
          <w:sz w:val="24"/>
          <w:szCs w:val="24"/>
        </w:rPr>
        <w:t xml:space="preserve">[for private home use] </w:t>
      </w:r>
      <w:r w:rsidRPr="00D1676C">
        <w:rPr>
          <w:rFonts w:ascii="Californian FB" w:hAnsi="Californian FB" w:cs="BerkeleyStd-Book"/>
          <w:sz w:val="24"/>
          <w:szCs w:val="24"/>
        </w:rPr>
        <w:t>enables a viewer to see such a work which he had</w:t>
      </w:r>
      <w:r>
        <w:rPr>
          <w:rFonts w:ascii="Californian FB" w:hAnsi="Californian FB" w:cs="BerkeleyStd-Book"/>
          <w:sz w:val="24"/>
          <w:szCs w:val="24"/>
        </w:rPr>
        <w:t xml:space="preserve"> </w:t>
      </w:r>
      <w:r w:rsidRPr="00D1676C">
        <w:rPr>
          <w:rFonts w:ascii="Californian FB" w:hAnsi="Californian FB" w:cs="BerkeleyStd-Book"/>
          <w:sz w:val="24"/>
          <w:szCs w:val="24"/>
        </w:rPr>
        <w:t>been invited to witness in its entirety free of charge</w:t>
      </w:r>
      <w:r>
        <w:rPr>
          <w:rFonts w:ascii="Californian FB" w:hAnsi="Californian FB" w:cs="BerkeleyStd-Book"/>
          <w:sz w:val="24"/>
          <w:szCs w:val="24"/>
        </w:rPr>
        <w:t xml:space="preserve">,” and therefore promotes “access to ideas.” In </w:t>
      </w:r>
      <w:r>
        <w:rPr>
          <w:rFonts w:ascii="Californian FB" w:hAnsi="Californian FB" w:cs="BerkeleyStd-Book"/>
          <w:i/>
          <w:iCs/>
          <w:sz w:val="24"/>
          <w:szCs w:val="24"/>
        </w:rPr>
        <w:t xml:space="preserve">Campbell v. Acuff-Rose Music </w:t>
      </w:r>
      <w:r>
        <w:rPr>
          <w:rFonts w:ascii="Californian FB" w:hAnsi="Californian FB" w:cs="BerkeleyStd-Book"/>
          <w:sz w:val="24"/>
          <w:szCs w:val="24"/>
        </w:rPr>
        <w:t>(casebook p. 338), the Court considers the benefits to the public of transformative works under factor one: they further “</w:t>
      </w:r>
      <w:r w:rsidRPr="00161238">
        <w:rPr>
          <w:rFonts w:ascii="Californian FB" w:hAnsi="Californian FB" w:cs="BerkeleyStd-Book"/>
          <w:sz w:val="24"/>
          <w:szCs w:val="24"/>
        </w:rPr>
        <w:t>the goal of copyright, to promote science and the arts,</w:t>
      </w:r>
      <w:r>
        <w:rPr>
          <w:rFonts w:ascii="Californian FB" w:hAnsi="Californian FB" w:cs="BerkeleyStd-Book"/>
          <w:sz w:val="24"/>
          <w:szCs w:val="24"/>
        </w:rPr>
        <w:t>” by exposing the public to some “new expression, meaning, or message.”</w:t>
      </w:r>
      <w:r w:rsidRPr="00161238">
        <w:rPr>
          <w:rFonts w:ascii="Californian FB" w:hAnsi="Californian FB" w:cs="BerkeleyStd-Book"/>
          <w:sz w:val="24"/>
          <w:szCs w:val="24"/>
        </w:rPr>
        <w:t xml:space="preserve"> </w:t>
      </w:r>
      <w:r w:rsidR="00172C23">
        <w:rPr>
          <w:rFonts w:ascii="Californian FB" w:hAnsi="Californian FB" w:cs="BerkeleyStd-Book"/>
          <w:sz w:val="24"/>
          <w:szCs w:val="24"/>
        </w:rPr>
        <w:t>By contrast, i</w:t>
      </w:r>
      <w:r>
        <w:rPr>
          <w:rFonts w:ascii="Californian FB" w:hAnsi="Californian FB" w:cs="BerkeleyStd-Book"/>
          <w:sz w:val="24"/>
          <w:szCs w:val="24"/>
        </w:rPr>
        <w:t xml:space="preserve">n </w:t>
      </w:r>
      <w:r>
        <w:rPr>
          <w:rFonts w:ascii="Californian FB" w:hAnsi="Californian FB" w:cs="BerkeleyStd-Book"/>
          <w:i/>
          <w:iCs/>
          <w:sz w:val="24"/>
          <w:szCs w:val="24"/>
        </w:rPr>
        <w:t>Google v. Oracle America</w:t>
      </w:r>
      <w:r>
        <w:rPr>
          <w:rFonts w:ascii="Californian FB" w:hAnsi="Californian FB" w:cs="BerkeleyStd-Book"/>
          <w:sz w:val="24"/>
          <w:szCs w:val="24"/>
        </w:rPr>
        <w:t>, the Court states that “the public benefits the copying will likely produce” should be weighed under factor four, the effect of copying on the market for or value of the copyrighted work</w:t>
      </w:r>
      <w:r w:rsidR="00172C23">
        <w:rPr>
          <w:rFonts w:ascii="Californian FB" w:hAnsi="Californian FB" w:cs="BerkeleyStd-Book"/>
          <w:sz w:val="24"/>
          <w:szCs w:val="24"/>
        </w:rPr>
        <w:t>.</w:t>
      </w:r>
      <w:r>
        <w:rPr>
          <w:rFonts w:ascii="Californian FB" w:hAnsi="Californian FB" w:cs="BerkeleyStd-Book"/>
          <w:sz w:val="24"/>
          <w:szCs w:val="24"/>
        </w:rPr>
        <w:t xml:space="preserve">  Does it significantly muddy fair use analysis to import a public benefit analysis into factor four?  Notice that the only precedent Justice Breyer can cite in support of this move is a 40-year-old Second Circuit opinion that predates all Supreme Court fair use precedent. Now that we have Supreme Court precedent, however, watch for “public benefit” to appear in future factor four analyses.</w:t>
      </w:r>
    </w:p>
    <w:p w14:paraId="03979377" w14:textId="6900EA76" w:rsidR="00B74989" w:rsidRDefault="00B74989" w:rsidP="00B501FB">
      <w:pPr>
        <w:autoSpaceDE w:val="0"/>
        <w:autoSpaceDN w:val="0"/>
        <w:adjustRightInd w:val="0"/>
        <w:spacing w:after="0"/>
        <w:ind w:left="360" w:hanging="360"/>
        <w:jc w:val="both"/>
        <w:rPr>
          <w:rFonts w:ascii="Californian FB" w:hAnsi="Californian FB" w:cs="BerkeleyStd-Book"/>
          <w:sz w:val="24"/>
          <w:szCs w:val="24"/>
        </w:rPr>
      </w:pPr>
    </w:p>
    <w:p w14:paraId="745E3065" w14:textId="03C3A47E" w:rsidR="00B74989" w:rsidRDefault="00B74989" w:rsidP="00DF628F">
      <w:pPr>
        <w:autoSpaceDE w:val="0"/>
        <w:autoSpaceDN w:val="0"/>
        <w:adjustRightInd w:val="0"/>
        <w:spacing w:after="0"/>
        <w:ind w:left="360" w:hanging="360"/>
        <w:jc w:val="both"/>
        <w:rPr>
          <w:rFonts w:ascii="Californian FB" w:hAnsi="Californian FB" w:cs="BerkeleyStd-Book"/>
          <w:sz w:val="24"/>
          <w:szCs w:val="24"/>
        </w:rPr>
      </w:pPr>
      <w:r>
        <w:rPr>
          <w:rFonts w:ascii="Californian FB" w:hAnsi="Californian FB" w:cs="BerkeleyStd-Book"/>
          <w:b/>
          <w:bCs/>
          <w:sz w:val="24"/>
          <w:szCs w:val="24"/>
        </w:rPr>
        <w:t xml:space="preserve">8.  Fair Use and “Interoperability.” </w:t>
      </w:r>
      <w:r>
        <w:rPr>
          <w:rFonts w:ascii="Californian FB" w:hAnsi="Californian FB" w:cs="BerkeleyStd-Book"/>
          <w:sz w:val="24"/>
          <w:szCs w:val="24"/>
        </w:rPr>
        <w:t xml:space="preserve">In connection with its analysis of factor four and the danger of “lock-in,” the </w:t>
      </w:r>
      <w:r>
        <w:rPr>
          <w:rFonts w:ascii="Californian FB" w:hAnsi="Californian FB" w:cs="BerkeleyStd-Book"/>
          <w:i/>
          <w:iCs/>
          <w:sz w:val="24"/>
          <w:szCs w:val="24"/>
        </w:rPr>
        <w:t xml:space="preserve">Google v. Oracle America </w:t>
      </w:r>
      <w:r>
        <w:rPr>
          <w:rFonts w:ascii="Californian FB" w:hAnsi="Californian FB" w:cs="BerkeleyStd-Book"/>
          <w:sz w:val="24"/>
          <w:szCs w:val="24"/>
        </w:rPr>
        <w:t xml:space="preserve">Court cites </w:t>
      </w:r>
      <w:r>
        <w:rPr>
          <w:rFonts w:ascii="Californian FB" w:hAnsi="Californian FB" w:cs="BerkeleyStd-Book"/>
          <w:i/>
          <w:iCs/>
          <w:sz w:val="24"/>
          <w:szCs w:val="24"/>
        </w:rPr>
        <w:t xml:space="preserve">Sega </w:t>
      </w:r>
      <w:r w:rsidRPr="00B74989">
        <w:rPr>
          <w:rFonts w:ascii="Californian FB" w:hAnsi="Californian FB" w:cs="BerkeleyStd-Book"/>
          <w:i/>
          <w:iCs/>
          <w:sz w:val="24"/>
          <w:szCs w:val="24"/>
        </w:rPr>
        <w:t>Enterprises Ltd. v. Accolade, Inc.</w:t>
      </w:r>
      <w:r>
        <w:rPr>
          <w:rFonts w:ascii="Californian FB" w:hAnsi="Californian FB" w:cs="BerkeleyStd-Book"/>
          <w:i/>
          <w:iCs/>
          <w:sz w:val="24"/>
          <w:szCs w:val="24"/>
        </w:rPr>
        <w:t xml:space="preserve">, </w:t>
      </w:r>
      <w:r w:rsidRPr="00B74989">
        <w:rPr>
          <w:rFonts w:ascii="Californian FB" w:hAnsi="Californian FB" w:cs="BerkeleyStd-Book"/>
          <w:sz w:val="24"/>
          <w:szCs w:val="24"/>
        </w:rPr>
        <w:t>977 F.2d 1510 (9</w:t>
      </w:r>
      <w:r w:rsidRPr="00B74989">
        <w:rPr>
          <w:rFonts w:ascii="Californian FB" w:hAnsi="Californian FB" w:cs="BerkeleyStd-Book"/>
          <w:sz w:val="24"/>
          <w:szCs w:val="24"/>
          <w:vertAlign w:val="superscript"/>
        </w:rPr>
        <w:t>th</w:t>
      </w:r>
      <w:r w:rsidRPr="00B74989">
        <w:rPr>
          <w:rFonts w:ascii="Californian FB" w:hAnsi="Californian FB" w:cs="BerkeleyStd-Book"/>
          <w:sz w:val="24"/>
          <w:szCs w:val="24"/>
        </w:rPr>
        <w:t xml:space="preserve"> Cir. 1992)</w:t>
      </w:r>
      <w:r>
        <w:rPr>
          <w:rFonts w:ascii="Californian FB" w:hAnsi="Californian FB" w:cs="BerkeleyStd-Book"/>
          <w:sz w:val="24"/>
          <w:szCs w:val="24"/>
        </w:rPr>
        <w:t xml:space="preserve">. In </w:t>
      </w:r>
      <w:r>
        <w:rPr>
          <w:rFonts w:ascii="Californian FB" w:hAnsi="Californian FB" w:cs="BerkeleyStd-Book"/>
          <w:i/>
          <w:iCs/>
          <w:sz w:val="24"/>
          <w:szCs w:val="24"/>
        </w:rPr>
        <w:t>Sega</w:t>
      </w:r>
      <w:r w:rsidR="001B52E1">
        <w:rPr>
          <w:rFonts w:ascii="Californian FB" w:hAnsi="Californian FB" w:cs="BerkeleyStd-Book"/>
          <w:i/>
          <w:iCs/>
          <w:sz w:val="24"/>
          <w:szCs w:val="24"/>
        </w:rPr>
        <w:t xml:space="preserve"> Enterprises</w:t>
      </w:r>
      <w:r>
        <w:rPr>
          <w:rFonts w:ascii="Californian FB" w:hAnsi="Californian FB" w:cs="BerkeleyStd-Book"/>
          <w:sz w:val="24"/>
          <w:szCs w:val="24"/>
        </w:rPr>
        <w:t xml:space="preserve">, Accolade wanted to produce game cartridges that would run on Sega’s Genesis console. To do so, it copied </w:t>
      </w:r>
      <w:r w:rsidR="004D2A1A">
        <w:rPr>
          <w:rFonts w:ascii="Californian FB" w:hAnsi="Californian FB" w:cs="BerkeleyStd-Book"/>
          <w:sz w:val="24"/>
          <w:szCs w:val="24"/>
        </w:rPr>
        <w:t xml:space="preserve">computer code in the Genesis console, for the purpose of studying how game cartridges communicated with the console. Accolade then used that knowledge to create game cartridges that were compatible with the Genesis console, because they generated and responded to commands that were used in that console. The Ninth Circuit held that Accolade’s copying of Sega’s code was fair use, because its purpose was </w:t>
      </w:r>
      <w:proofErr w:type="gramStart"/>
      <w:r w:rsidR="004D2A1A">
        <w:rPr>
          <w:rFonts w:ascii="Californian FB" w:hAnsi="Californian FB" w:cs="BerkeleyStd-Book"/>
          <w:sz w:val="24"/>
          <w:szCs w:val="24"/>
        </w:rPr>
        <w:t>study</w:t>
      </w:r>
      <w:proofErr w:type="gramEnd"/>
      <w:r w:rsidR="004D2A1A">
        <w:rPr>
          <w:rFonts w:ascii="Californian FB" w:hAnsi="Californian FB" w:cs="BerkeleyStd-Book"/>
          <w:sz w:val="24"/>
          <w:szCs w:val="24"/>
        </w:rPr>
        <w:t xml:space="preserve"> the uncopyrightable functional requirements for compatibility. </w:t>
      </w:r>
      <w:r w:rsidR="00DF628F">
        <w:rPr>
          <w:rFonts w:ascii="Californian FB" w:hAnsi="Californian FB" w:cs="BerkeleyStd-Book"/>
          <w:sz w:val="24"/>
          <w:szCs w:val="24"/>
        </w:rPr>
        <w:t xml:space="preserve">In </w:t>
      </w:r>
      <w:r w:rsidR="00DF628F" w:rsidRPr="00DF628F">
        <w:rPr>
          <w:rFonts w:ascii="Californian FB" w:hAnsi="Californian FB" w:cs="BerkeleyStd-Book"/>
          <w:i/>
          <w:iCs/>
          <w:sz w:val="24"/>
          <w:szCs w:val="24"/>
        </w:rPr>
        <w:t>Sony Computer Entertainment, Inc. v. Connectix Corp</w:t>
      </w:r>
      <w:r w:rsidR="00DF628F" w:rsidRPr="00DF628F">
        <w:rPr>
          <w:rFonts w:ascii="Californian FB" w:hAnsi="Californian FB" w:cs="BerkeleyStd-Book"/>
          <w:sz w:val="24"/>
          <w:szCs w:val="24"/>
        </w:rPr>
        <w:t>., 203 F.3d 596 (9th Cir</w:t>
      </w:r>
      <w:r w:rsidR="00DF628F">
        <w:rPr>
          <w:rFonts w:ascii="Californian FB" w:hAnsi="Californian FB" w:cs="BerkeleyStd-Book"/>
          <w:sz w:val="24"/>
          <w:szCs w:val="24"/>
        </w:rPr>
        <w:t xml:space="preserve">. 2001), another case cited by the </w:t>
      </w:r>
      <w:r w:rsidR="00DF628F">
        <w:rPr>
          <w:rFonts w:ascii="Californian FB" w:hAnsi="Californian FB" w:cs="BerkeleyStd-Book"/>
          <w:i/>
          <w:iCs/>
          <w:sz w:val="24"/>
          <w:szCs w:val="24"/>
        </w:rPr>
        <w:t>Google v. Oracle America</w:t>
      </w:r>
      <w:r w:rsidR="00DF628F">
        <w:rPr>
          <w:rFonts w:ascii="Californian FB" w:hAnsi="Californian FB" w:cs="BerkeleyStd-Book"/>
          <w:sz w:val="24"/>
          <w:szCs w:val="24"/>
        </w:rPr>
        <w:t xml:space="preserve"> Court, Connectix </w:t>
      </w:r>
      <w:r w:rsidR="001B52E1">
        <w:rPr>
          <w:rFonts w:ascii="Californian FB" w:hAnsi="Californian FB" w:cs="BerkeleyStd-Book"/>
          <w:sz w:val="24"/>
          <w:szCs w:val="24"/>
        </w:rPr>
        <w:t>wanted to build</w:t>
      </w:r>
      <w:r w:rsidR="00DF628F">
        <w:rPr>
          <w:rFonts w:ascii="Californian FB" w:hAnsi="Californian FB" w:cs="BerkeleyStd-Book"/>
          <w:sz w:val="24"/>
          <w:szCs w:val="24"/>
        </w:rPr>
        <w:t xml:space="preserve"> “emulation software” that enabled games originally designed for the Sony PlayStation to be played on Apple computers. Connectix similarly made copies of Sony PlayStation code in other to understand </w:t>
      </w:r>
      <w:r w:rsidR="001B52E1">
        <w:rPr>
          <w:rFonts w:ascii="Californian FB" w:hAnsi="Californian FB" w:cs="BerkeleyStd-Book"/>
          <w:sz w:val="24"/>
          <w:szCs w:val="24"/>
        </w:rPr>
        <w:t xml:space="preserve">how to translate PlayStation commands into commands that could </w:t>
      </w:r>
      <w:proofErr w:type="spellStart"/>
      <w:r w:rsidR="001B52E1">
        <w:rPr>
          <w:rFonts w:ascii="Californian FB" w:hAnsi="Californian FB" w:cs="BerkeleyStd-Book"/>
          <w:sz w:val="24"/>
          <w:szCs w:val="24"/>
        </w:rPr>
        <w:t>used</w:t>
      </w:r>
      <w:proofErr w:type="spellEnd"/>
      <w:r w:rsidR="001B52E1">
        <w:rPr>
          <w:rFonts w:ascii="Californian FB" w:hAnsi="Californian FB" w:cs="BerkeleyStd-Book"/>
          <w:sz w:val="24"/>
          <w:szCs w:val="24"/>
        </w:rPr>
        <w:t xml:space="preserve"> and understood by the Apple operating system. </w:t>
      </w:r>
      <w:proofErr w:type="gramStart"/>
      <w:r w:rsidR="001B52E1">
        <w:rPr>
          <w:rFonts w:ascii="Californian FB" w:hAnsi="Californian FB" w:cs="BerkeleyStd-Book"/>
          <w:sz w:val="24"/>
          <w:szCs w:val="24"/>
        </w:rPr>
        <w:t>Again</w:t>
      </w:r>
      <w:proofErr w:type="gramEnd"/>
      <w:r w:rsidR="001B52E1">
        <w:rPr>
          <w:rFonts w:ascii="Californian FB" w:hAnsi="Californian FB" w:cs="BerkeleyStd-Book"/>
          <w:sz w:val="24"/>
          <w:szCs w:val="24"/>
        </w:rPr>
        <w:t xml:space="preserve"> the Ninth Circuit held that such copying was a fair use. </w:t>
      </w:r>
    </w:p>
    <w:p w14:paraId="67617640" w14:textId="21027408" w:rsidR="001B52E1" w:rsidRDefault="001B52E1" w:rsidP="00DF628F">
      <w:pPr>
        <w:autoSpaceDE w:val="0"/>
        <w:autoSpaceDN w:val="0"/>
        <w:adjustRightInd w:val="0"/>
        <w:spacing w:after="0"/>
        <w:ind w:left="360" w:hanging="360"/>
        <w:jc w:val="both"/>
        <w:rPr>
          <w:rFonts w:ascii="Californian FB" w:hAnsi="Californian FB" w:cs="BerkeleyStd-Book"/>
          <w:sz w:val="24"/>
          <w:szCs w:val="24"/>
        </w:rPr>
      </w:pPr>
    </w:p>
    <w:p w14:paraId="2AE45F12" w14:textId="0282F3E9" w:rsidR="000B0CB3" w:rsidRDefault="001B52E1" w:rsidP="00DF628F">
      <w:pPr>
        <w:autoSpaceDE w:val="0"/>
        <w:autoSpaceDN w:val="0"/>
        <w:adjustRightInd w:val="0"/>
        <w:spacing w:after="0"/>
        <w:ind w:left="360" w:hanging="360"/>
        <w:jc w:val="both"/>
        <w:rPr>
          <w:rFonts w:ascii="Californian FB" w:hAnsi="Californian FB" w:cs="BerkeleyStd-Book"/>
          <w:sz w:val="24"/>
          <w:szCs w:val="24"/>
        </w:rPr>
      </w:pPr>
      <w:r>
        <w:rPr>
          <w:rFonts w:ascii="Californian FB" w:hAnsi="Californian FB" w:cs="BerkeleyStd-Book"/>
          <w:sz w:val="24"/>
          <w:szCs w:val="24"/>
        </w:rPr>
        <w:tab/>
        <w:t xml:space="preserve">The </w:t>
      </w:r>
      <w:r>
        <w:rPr>
          <w:rFonts w:ascii="Californian FB" w:hAnsi="Californian FB" w:cs="BerkeleyStd-Book"/>
          <w:i/>
          <w:iCs/>
          <w:sz w:val="24"/>
          <w:szCs w:val="24"/>
        </w:rPr>
        <w:t xml:space="preserve">Sega Enterprises </w:t>
      </w:r>
      <w:r>
        <w:rPr>
          <w:rFonts w:ascii="Californian FB" w:hAnsi="Californian FB" w:cs="BerkeleyStd-Book"/>
          <w:sz w:val="24"/>
          <w:szCs w:val="24"/>
        </w:rPr>
        <w:t xml:space="preserve">and </w:t>
      </w:r>
      <w:r>
        <w:rPr>
          <w:rFonts w:ascii="Californian FB" w:hAnsi="Californian FB" w:cs="BerkeleyStd-Book"/>
          <w:i/>
          <w:iCs/>
          <w:sz w:val="24"/>
          <w:szCs w:val="24"/>
        </w:rPr>
        <w:t xml:space="preserve">Connectix </w:t>
      </w:r>
      <w:r>
        <w:rPr>
          <w:rFonts w:ascii="Californian FB" w:hAnsi="Californian FB" w:cs="BerkeleyStd-Book"/>
          <w:sz w:val="24"/>
          <w:szCs w:val="24"/>
        </w:rPr>
        <w:t xml:space="preserve">courts undoubtedly viewed the actions of Accolade and Connectix as avoiding a kind of “lock-in.” Sega would </w:t>
      </w:r>
      <w:proofErr w:type="spellStart"/>
      <w:r>
        <w:rPr>
          <w:rFonts w:ascii="Californian FB" w:hAnsi="Californian FB" w:cs="BerkeleyStd-Book"/>
          <w:sz w:val="24"/>
          <w:szCs w:val="24"/>
        </w:rPr>
        <w:t>liked</w:t>
      </w:r>
      <w:proofErr w:type="spellEnd"/>
      <w:r>
        <w:rPr>
          <w:rFonts w:ascii="Californian FB" w:hAnsi="Californian FB" w:cs="BerkeleyStd-Book"/>
          <w:sz w:val="24"/>
          <w:szCs w:val="24"/>
        </w:rPr>
        <w:t xml:space="preserve"> to have required owners of its Genesis console to buy only game cartridges made or licensed by Sega. Sony would have liked owners of its games to be able to play them only on PlayStations. Accolade and Connectix </w:t>
      </w:r>
      <w:r w:rsidR="000B0CB3">
        <w:rPr>
          <w:rFonts w:ascii="Californian FB" w:hAnsi="Californian FB" w:cs="BerkeleyStd-Book"/>
          <w:sz w:val="24"/>
          <w:szCs w:val="24"/>
        </w:rPr>
        <w:t>circumvented</w:t>
      </w:r>
      <w:r>
        <w:rPr>
          <w:rFonts w:ascii="Californian FB" w:hAnsi="Californian FB" w:cs="BerkeleyStd-Book"/>
          <w:sz w:val="24"/>
          <w:szCs w:val="24"/>
        </w:rPr>
        <w:t xml:space="preserve"> such </w:t>
      </w:r>
      <w:r w:rsidR="000B0CB3">
        <w:rPr>
          <w:rFonts w:ascii="Californian FB" w:hAnsi="Californian FB" w:cs="BerkeleyStd-Book"/>
          <w:sz w:val="24"/>
          <w:szCs w:val="24"/>
        </w:rPr>
        <w:t xml:space="preserve">“tying” by discovering the commands used by Genesis and PlayStation </w:t>
      </w:r>
      <w:r w:rsidR="000B0CB3">
        <w:rPr>
          <w:rFonts w:ascii="Californian FB" w:hAnsi="Californian FB" w:cs="BerkeleyStd-Book"/>
          <w:sz w:val="24"/>
          <w:szCs w:val="24"/>
        </w:rPr>
        <w:lastRenderedPageBreak/>
        <w:t>consoles and incorporating them into independently-produced game cartridges (Accolade) and software that enabled play on independently-produced devices (Connectix).</w:t>
      </w:r>
    </w:p>
    <w:p w14:paraId="61F027FA" w14:textId="6C2CA19B" w:rsidR="000B0CB3" w:rsidRDefault="000B0CB3" w:rsidP="00EC4C17">
      <w:pPr>
        <w:autoSpaceDE w:val="0"/>
        <w:autoSpaceDN w:val="0"/>
        <w:adjustRightInd w:val="0"/>
        <w:spacing w:before="240" w:after="0"/>
        <w:ind w:left="360" w:hanging="360"/>
        <w:jc w:val="both"/>
        <w:rPr>
          <w:rFonts w:ascii="Californian FB" w:hAnsi="Californian FB" w:cs="BerkeleyStd-Book"/>
          <w:sz w:val="24"/>
          <w:szCs w:val="24"/>
        </w:rPr>
      </w:pPr>
      <w:r>
        <w:rPr>
          <w:rFonts w:ascii="Californian FB" w:hAnsi="Californian FB" w:cs="BerkeleyStd-Book"/>
          <w:sz w:val="24"/>
          <w:szCs w:val="24"/>
        </w:rPr>
        <w:tab/>
        <w:t xml:space="preserve">How does the “lock-in” at issue in </w:t>
      </w:r>
      <w:r>
        <w:rPr>
          <w:rFonts w:ascii="Californian FB" w:hAnsi="Californian FB" w:cs="BerkeleyStd-Book"/>
          <w:i/>
          <w:iCs/>
          <w:sz w:val="24"/>
          <w:szCs w:val="24"/>
        </w:rPr>
        <w:t xml:space="preserve">Sega Enterprises </w:t>
      </w:r>
      <w:r>
        <w:rPr>
          <w:rFonts w:ascii="Californian FB" w:hAnsi="Californian FB" w:cs="BerkeleyStd-Book"/>
          <w:sz w:val="24"/>
          <w:szCs w:val="24"/>
        </w:rPr>
        <w:t xml:space="preserve">and </w:t>
      </w:r>
      <w:r>
        <w:rPr>
          <w:rFonts w:ascii="Californian FB" w:hAnsi="Californian FB" w:cs="BerkeleyStd-Book"/>
          <w:i/>
          <w:iCs/>
          <w:sz w:val="24"/>
          <w:szCs w:val="24"/>
        </w:rPr>
        <w:t xml:space="preserve">Connectix </w:t>
      </w:r>
      <w:r>
        <w:rPr>
          <w:rFonts w:ascii="Californian FB" w:hAnsi="Californian FB" w:cs="BerkeleyStd-Book"/>
          <w:sz w:val="24"/>
          <w:szCs w:val="24"/>
        </w:rPr>
        <w:t xml:space="preserve">compare with that described by the </w:t>
      </w:r>
      <w:r>
        <w:rPr>
          <w:rFonts w:ascii="Californian FB" w:hAnsi="Californian FB" w:cs="BerkeleyStd-Book"/>
          <w:i/>
          <w:iCs/>
          <w:sz w:val="24"/>
          <w:szCs w:val="24"/>
        </w:rPr>
        <w:t xml:space="preserve">Google v. Oracle America </w:t>
      </w:r>
      <w:r>
        <w:rPr>
          <w:rFonts w:ascii="Californian FB" w:hAnsi="Californian FB" w:cs="BerkeleyStd-Book"/>
          <w:sz w:val="24"/>
          <w:szCs w:val="24"/>
        </w:rPr>
        <w:t xml:space="preserve">Court?  Was Google </w:t>
      </w:r>
      <w:r w:rsidR="00EC4C17">
        <w:rPr>
          <w:rFonts w:ascii="Californian FB" w:hAnsi="Californian FB" w:cs="BerkeleyStd-Book"/>
          <w:sz w:val="24"/>
          <w:szCs w:val="24"/>
        </w:rPr>
        <w:t xml:space="preserve">incorporating Java API declaring code into Android so that existing Java programs could be run on devices using Android?  (That would be similar to </w:t>
      </w:r>
      <w:r w:rsidR="00EC4C17">
        <w:rPr>
          <w:rFonts w:ascii="Californian FB" w:hAnsi="Californian FB" w:cs="BerkeleyStd-Book"/>
          <w:i/>
          <w:iCs/>
          <w:sz w:val="24"/>
          <w:szCs w:val="24"/>
        </w:rPr>
        <w:t>Connectix.</w:t>
      </w:r>
      <w:r w:rsidR="00EC4C17">
        <w:rPr>
          <w:rFonts w:ascii="Californian FB" w:hAnsi="Californian FB" w:cs="BerkeleyStd-Book"/>
          <w:sz w:val="24"/>
          <w:szCs w:val="24"/>
        </w:rPr>
        <w:t xml:space="preserve">)  Or so that programs developed with Android in mind would also </w:t>
      </w:r>
      <w:proofErr w:type="gramStart"/>
      <w:r w:rsidR="00EC4C17">
        <w:rPr>
          <w:rFonts w:ascii="Californian FB" w:hAnsi="Californian FB" w:cs="BerkeleyStd-Book"/>
          <w:sz w:val="24"/>
          <w:szCs w:val="24"/>
        </w:rPr>
        <w:t>run on</w:t>
      </w:r>
      <w:proofErr w:type="gramEnd"/>
      <w:r w:rsidR="00EC4C17">
        <w:rPr>
          <w:rFonts w:ascii="Californian FB" w:hAnsi="Californian FB" w:cs="BerkeleyStd-Book"/>
          <w:sz w:val="24"/>
          <w:szCs w:val="24"/>
        </w:rPr>
        <w:t xml:space="preserve"> existing Java devices?  (That would be similar to </w:t>
      </w:r>
      <w:r w:rsidR="00EC4C17">
        <w:rPr>
          <w:rFonts w:ascii="Californian FB" w:hAnsi="Californian FB" w:cs="BerkeleyStd-Book"/>
          <w:i/>
          <w:iCs/>
          <w:sz w:val="24"/>
          <w:szCs w:val="24"/>
        </w:rPr>
        <w:t>Sega Enterprises.</w:t>
      </w:r>
      <w:r w:rsidR="00EC4C17">
        <w:rPr>
          <w:rFonts w:ascii="Californian FB" w:hAnsi="Californian FB" w:cs="BerkeleyStd-Book"/>
          <w:sz w:val="24"/>
          <w:szCs w:val="24"/>
        </w:rPr>
        <w:t xml:space="preserve">)  Or is </w:t>
      </w:r>
      <w:r w:rsidR="00EC4C17">
        <w:rPr>
          <w:rFonts w:ascii="Californian FB" w:hAnsi="Californian FB" w:cs="BerkeleyStd-Book"/>
          <w:i/>
          <w:iCs/>
          <w:sz w:val="24"/>
          <w:szCs w:val="24"/>
        </w:rPr>
        <w:t xml:space="preserve">Google v. Oracle America </w:t>
      </w:r>
      <w:r w:rsidR="00EC4C17">
        <w:rPr>
          <w:rFonts w:ascii="Californian FB" w:hAnsi="Californian FB" w:cs="BerkeleyStd-Book"/>
          <w:sz w:val="24"/>
          <w:szCs w:val="24"/>
        </w:rPr>
        <w:t>referring to “lock-in” in quite a different context, referring not to existing devices or programs owned by consumers, but to programmers and their skills?</w:t>
      </w:r>
    </w:p>
    <w:p w14:paraId="03B390F5" w14:textId="77777777" w:rsidR="00811D42" w:rsidRDefault="00811D42" w:rsidP="008654BE">
      <w:pPr>
        <w:autoSpaceDE w:val="0"/>
        <w:autoSpaceDN w:val="0"/>
        <w:adjustRightInd w:val="0"/>
        <w:spacing w:before="240" w:after="0"/>
        <w:jc w:val="both"/>
        <w:rPr>
          <w:rFonts w:ascii="Californian FB" w:hAnsi="Californian FB" w:cs="BerkeleyStd-Book"/>
          <w:sz w:val="24"/>
          <w:szCs w:val="24"/>
        </w:rPr>
      </w:pPr>
    </w:p>
    <w:p w14:paraId="010BCC5E" w14:textId="7C922644" w:rsidR="00ED71C4" w:rsidRDefault="00ED71C4" w:rsidP="00ED71C4">
      <w:pPr>
        <w:widowControl w:val="0"/>
        <w:autoSpaceDE w:val="0"/>
        <w:autoSpaceDN w:val="0"/>
        <w:adjustRightInd w:val="0"/>
        <w:spacing w:after="120"/>
        <w:jc w:val="both"/>
        <w:rPr>
          <w:rFonts w:ascii="Californian FB" w:hAnsi="Californian FB" w:cs="Times New Roman"/>
          <w:color w:val="000000" w:themeColor="text1"/>
          <w:sz w:val="28"/>
          <w:szCs w:val="28"/>
        </w:rPr>
      </w:pPr>
      <w:r w:rsidRPr="00AF0211">
        <w:rPr>
          <w:rFonts w:ascii="Californian FB" w:hAnsi="Californian FB" w:cs="Times New Roman"/>
          <w:color w:val="000000" w:themeColor="text1"/>
          <w:sz w:val="28"/>
          <w:szCs w:val="28"/>
        </w:rPr>
        <w:t xml:space="preserve">Page </w:t>
      </w:r>
      <w:r>
        <w:rPr>
          <w:rFonts w:ascii="Californian FB" w:hAnsi="Californian FB" w:cs="Times New Roman"/>
          <w:color w:val="000000" w:themeColor="text1"/>
          <w:sz w:val="28"/>
          <w:szCs w:val="28"/>
        </w:rPr>
        <w:t>404</w:t>
      </w:r>
      <w:r w:rsidRPr="00AF0211">
        <w:rPr>
          <w:rFonts w:ascii="Californian FB" w:hAnsi="Californian FB" w:cs="Times New Roman"/>
          <w:color w:val="000000" w:themeColor="text1"/>
          <w:sz w:val="28"/>
          <w:szCs w:val="28"/>
        </w:rPr>
        <w:t xml:space="preserve">: </w:t>
      </w:r>
      <w:r>
        <w:rPr>
          <w:rFonts w:ascii="Californian FB" w:hAnsi="Californian FB" w:cs="Times New Roman"/>
          <w:color w:val="000000" w:themeColor="text1"/>
          <w:sz w:val="28"/>
          <w:szCs w:val="28"/>
        </w:rPr>
        <w:t>Insert above the “Test Your Knowledge” Box:</w:t>
      </w:r>
    </w:p>
    <w:p w14:paraId="3CABD24B" w14:textId="77777777" w:rsidR="00ED71C4" w:rsidRPr="00AF0211" w:rsidRDefault="00ED71C4" w:rsidP="00ED71C4">
      <w:pPr>
        <w:widowControl w:val="0"/>
        <w:autoSpaceDE w:val="0"/>
        <w:autoSpaceDN w:val="0"/>
        <w:adjustRightInd w:val="0"/>
        <w:spacing w:after="120"/>
        <w:jc w:val="both"/>
        <w:rPr>
          <w:rFonts w:ascii="Californian FB" w:hAnsi="Californian FB" w:cs="Times New Roman"/>
          <w:color w:val="000000" w:themeColor="text1"/>
          <w:sz w:val="28"/>
          <w:szCs w:val="28"/>
        </w:rPr>
      </w:pPr>
    </w:p>
    <w:p w14:paraId="6837EB98" w14:textId="03B41A68" w:rsidR="00ED71C4" w:rsidRPr="00ED71C4" w:rsidRDefault="00ED71C4" w:rsidP="00ED71C4">
      <w:pPr>
        <w:widowControl w:val="0"/>
        <w:autoSpaceDE w:val="0"/>
        <w:autoSpaceDN w:val="0"/>
        <w:adjustRightInd w:val="0"/>
        <w:spacing w:after="120"/>
        <w:ind w:firstLine="360"/>
        <w:jc w:val="both"/>
        <w:rPr>
          <w:rFonts w:ascii="Californian FB" w:hAnsi="Californian FB" w:cs="Times New Roman"/>
          <w:b/>
          <w:bCs/>
          <w:color w:val="000000" w:themeColor="text1"/>
          <w:sz w:val="24"/>
          <w:szCs w:val="24"/>
        </w:rPr>
      </w:pPr>
      <w:r>
        <w:rPr>
          <w:rFonts w:ascii="Californian FB" w:hAnsi="Californian FB" w:cs="Times New Roman"/>
          <w:b/>
          <w:bCs/>
          <w:color w:val="000000" w:themeColor="text1"/>
          <w:sz w:val="24"/>
          <w:szCs w:val="24"/>
        </w:rPr>
        <w:t xml:space="preserve">D.  Fair Use and </w:t>
      </w:r>
      <w:proofErr w:type="spellStart"/>
      <w:r>
        <w:rPr>
          <w:rFonts w:ascii="Californian FB" w:hAnsi="Californian FB" w:cs="Times New Roman"/>
          <w:b/>
          <w:bCs/>
          <w:color w:val="000000" w:themeColor="text1"/>
          <w:sz w:val="24"/>
          <w:szCs w:val="24"/>
        </w:rPr>
        <w:t>Transformativeness</w:t>
      </w:r>
      <w:proofErr w:type="spellEnd"/>
      <w:r>
        <w:rPr>
          <w:rFonts w:ascii="Californian FB" w:hAnsi="Californian FB" w:cs="Times New Roman"/>
          <w:b/>
          <w:bCs/>
          <w:color w:val="000000" w:themeColor="text1"/>
          <w:sz w:val="24"/>
          <w:szCs w:val="24"/>
        </w:rPr>
        <w:t xml:space="preserve"> before the Supreme Court</w:t>
      </w:r>
    </w:p>
    <w:p w14:paraId="26AF5E2A" w14:textId="71050258" w:rsidR="00ED71C4" w:rsidRDefault="00ED71C4" w:rsidP="00ED71C4">
      <w:pPr>
        <w:widowControl w:val="0"/>
        <w:autoSpaceDE w:val="0"/>
        <w:autoSpaceDN w:val="0"/>
        <w:adjustRightInd w:val="0"/>
        <w:spacing w:after="120"/>
        <w:ind w:firstLine="360"/>
        <w:jc w:val="both"/>
        <w:rPr>
          <w:rFonts w:ascii="Californian FB" w:hAnsi="Californian FB" w:cs="Times New Roman"/>
          <w:color w:val="000000" w:themeColor="text1"/>
          <w:sz w:val="24"/>
          <w:szCs w:val="24"/>
        </w:rPr>
      </w:pPr>
      <w:r>
        <w:rPr>
          <w:rFonts w:ascii="Californian FB" w:hAnsi="Californian FB" w:cs="Times New Roman"/>
          <w:color w:val="000000" w:themeColor="text1"/>
          <w:sz w:val="24"/>
          <w:szCs w:val="24"/>
        </w:rPr>
        <w:t xml:space="preserve">The Supreme Court has granted certiorari in </w:t>
      </w:r>
      <w:r w:rsidRPr="00931AC8">
        <w:rPr>
          <w:rFonts w:ascii="Californian FB" w:hAnsi="Californian FB" w:cs="Times New Roman"/>
          <w:i/>
          <w:iCs/>
          <w:color w:val="000000" w:themeColor="text1"/>
          <w:sz w:val="24"/>
          <w:szCs w:val="24"/>
        </w:rPr>
        <w:t>Andy Warhol Foundation for the Visual Arts, Inc. v. Goldsmith</w:t>
      </w:r>
      <w:r>
        <w:rPr>
          <w:rFonts w:ascii="Californian FB" w:hAnsi="Californian FB" w:cs="Times New Roman"/>
          <w:color w:val="000000" w:themeColor="text1"/>
          <w:sz w:val="24"/>
          <w:szCs w:val="24"/>
        </w:rPr>
        <w:t xml:space="preserve">, on a “Question Presented” that focuses on the meaning of “transformative” in fair use jurisprudence: </w:t>
      </w:r>
    </w:p>
    <w:p w14:paraId="30BC4B2C" w14:textId="77777777" w:rsidR="00ED71C4" w:rsidRDefault="00ED71C4" w:rsidP="00ED71C4">
      <w:pPr>
        <w:widowControl w:val="0"/>
        <w:autoSpaceDE w:val="0"/>
        <w:autoSpaceDN w:val="0"/>
        <w:adjustRightInd w:val="0"/>
        <w:spacing w:after="120"/>
        <w:ind w:left="360" w:right="360"/>
        <w:jc w:val="both"/>
        <w:rPr>
          <w:rFonts w:ascii="Californian FB" w:hAnsi="Californian FB" w:cs="Times New Roman"/>
          <w:color w:val="000000" w:themeColor="text1"/>
          <w:sz w:val="24"/>
          <w:szCs w:val="24"/>
        </w:rPr>
      </w:pPr>
      <w:r w:rsidRPr="0075168B">
        <w:rPr>
          <w:rFonts w:ascii="Californian FB" w:hAnsi="Californian FB" w:cs="Times New Roman"/>
          <w:color w:val="000000" w:themeColor="text1"/>
          <w:sz w:val="24"/>
          <w:szCs w:val="24"/>
        </w:rPr>
        <w:t xml:space="preserve">Whether a work of art is “transformative” when it conveys a different meaning or message from its source material (as this Court, the Ninth Circuit, and other courts of appeals have held), or whether a court is forbidden from considering the meaning of the accused work where it “recognizably </w:t>
      </w:r>
      <w:proofErr w:type="spellStart"/>
      <w:r w:rsidRPr="0075168B">
        <w:rPr>
          <w:rFonts w:ascii="Californian FB" w:hAnsi="Californian FB" w:cs="Times New Roman"/>
          <w:color w:val="000000" w:themeColor="text1"/>
          <w:sz w:val="24"/>
          <w:szCs w:val="24"/>
        </w:rPr>
        <w:t>deriv</w:t>
      </w:r>
      <w:proofErr w:type="spellEnd"/>
      <w:r w:rsidRPr="0075168B">
        <w:rPr>
          <w:rFonts w:ascii="Californian FB" w:hAnsi="Californian FB" w:cs="Times New Roman"/>
          <w:color w:val="000000" w:themeColor="text1"/>
          <w:sz w:val="24"/>
          <w:szCs w:val="24"/>
        </w:rPr>
        <w:t>[es] from” its source material (as the Second Circuit has held).</w:t>
      </w:r>
    </w:p>
    <w:p w14:paraId="429CAFA0" w14:textId="77777777" w:rsidR="00ED71C4" w:rsidRDefault="00ED71C4" w:rsidP="00ED71C4">
      <w:pPr>
        <w:widowControl w:val="0"/>
        <w:autoSpaceDE w:val="0"/>
        <w:autoSpaceDN w:val="0"/>
        <w:adjustRightInd w:val="0"/>
        <w:spacing w:after="120"/>
        <w:jc w:val="both"/>
        <w:rPr>
          <w:rFonts w:ascii="Californian FB" w:hAnsi="Californian FB" w:cs="Times New Roman"/>
          <w:color w:val="000000" w:themeColor="text1"/>
          <w:sz w:val="24"/>
          <w:szCs w:val="24"/>
        </w:rPr>
      </w:pPr>
      <w:r w:rsidRPr="00931AC8">
        <w:rPr>
          <w:rFonts w:ascii="Californian FB" w:hAnsi="Californian FB" w:cs="Times New Roman"/>
          <w:i/>
          <w:iCs/>
          <w:color w:val="000000" w:themeColor="text1"/>
          <w:sz w:val="24"/>
          <w:szCs w:val="24"/>
        </w:rPr>
        <w:t>.</w:t>
      </w:r>
      <w:r>
        <w:rPr>
          <w:rFonts w:ascii="Californian FB" w:hAnsi="Californian FB" w:cs="Times New Roman"/>
          <w:color w:val="000000" w:themeColor="text1"/>
          <w:sz w:val="24"/>
          <w:szCs w:val="24"/>
        </w:rPr>
        <w:t xml:space="preserve">  Because the Court will be focusing on the meaning of “transformative,” we have reproduced only that portion of the Second Circuit’s opinion which discusses the issue of “</w:t>
      </w:r>
      <w:proofErr w:type="spellStart"/>
      <w:r>
        <w:rPr>
          <w:rFonts w:ascii="Californian FB" w:hAnsi="Californian FB" w:cs="Times New Roman"/>
          <w:color w:val="000000" w:themeColor="text1"/>
          <w:sz w:val="24"/>
          <w:szCs w:val="24"/>
        </w:rPr>
        <w:t>transformativeness</w:t>
      </w:r>
      <w:proofErr w:type="spellEnd"/>
      <w:r>
        <w:rPr>
          <w:rFonts w:ascii="Californian FB" w:hAnsi="Californian FB" w:cs="Times New Roman"/>
          <w:color w:val="000000" w:themeColor="text1"/>
          <w:sz w:val="24"/>
          <w:szCs w:val="24"/>
        </w:rPr>
        <w:t>” (along with its recitation of the facts). The Court will hear (or depending upon when you are reading this, has heard) oral argument on October 12, 2022. How should it rule?</w:t>
      </w:r>
    </w:p>
    <w:p w14:paraId="100A6266" w14:textId="77777777" w:rsidR="00ED71C4" w:rsidRPr="002E3E61" w:rsidRDefault="00ED71C4" w:rsidP="00ED71C4">
      <w:pPr>
        <w:widowControl w:val="0"/>
        <w:autoSpaceDE w:val="0"/>
        <w:autoSpaceDN w:val="0"/>
        <w:adjustRightInd w:val="0"/>
        <w:spacing w:after="120" w:line="240" w:lineRule="auto"/>
        <w:rPr>
          <w:rFonts w:ascii="Californian FB" w:hAnsi="Californian FB" w:cs="Times New Roman"/>
          <w:i/>
          <w:color w:val="2E74B5" w:themeColor="accent1" w:themeShade="BF"/>
          <w:sz w:val="32"/>
          <w:szCs w:val="32"/>
        </w:rPr>
      </w:pPr>
      <w:r w:rsidRPr="00931AC8">
        <w:rPr>
          <w:rFonts w:ascii="Californian FB" w:hAnsi="Californian FB" w:cs="Times New Roman"/>
          <w:i/>
          <w:color w:val="2E74B5" w:themeColor="accent1" w:themeShade="BF"/>
          <w:sz w:val="32"/>
          <w:szCs w:val="32"/>
        </w:rPr>
        <w:t>Andy Warhol Foundation for the Visual Arts, Inc. v. Goldsmith</w:t>
      </w:r>
    </w:p>
    <w:p w14:paraId="796D8B4A" w14:textId="77777777" w:rsidR="00ED71C4" w:rsidRDefault="00ED71C4" w:rsidP="00ED71C4">
      <w:pPr>
        <w:widowControl w:val="0"/>
        <w:autoSpaceDE w:val="0"/>
        <w:autoSpaceDN w:val="0"/>
        <w:adjustRightInd w:val="0"/>
        <w:spacing w:after="120" w:line="240" w:lineRule="auto"/>
        <w:rPr>
          <w:rFonts w:ascii="Californian FB" w:hAnsi="Californian FB" w:cs="Times New Roman"/>
          <w:i/>
          <w:color w:val="2E74B5" w:themeColor="accent1" w:themeShade="BF"/>
          <w:sz w:val="32"/>
          <w:szCs w:val="32"/>
        </w:rPr>
      </w:pPr>
      <w:r>
        <w:rPr>
          <w:rFonts w:ascii="Californian FB" w:hAnsi="Californian FB" w:cs="Times New Roman"/>
          <w:i/>
          <w:color w:val="2E74B5" w:themeColor="accent1" w:themeShade="BF"/>
          <w:sz w:val="32"/>
          <w:szCs w:val="32"/>
        </w:rPr>
        <w:pict w14:anchorId="424BCEA8">
          <v:rect id="_x0000_i1031" style="width:6in;height:5pt" o:hralign="center" o:hrstd="t" o:hrnoshade="t" o:hr="t" fillcolor="#9cc2e5 [1940]" stroked="f"/>
        </w:pict>
      </w:r>
    </w:p>
    <w:p w14:paraId="7A858479" w14:textId="77777777" w:rsidR="00ED71C4" w:rsidRDefault="00ED71C4" w:rsidP="00ED71C4">
      <w:pPr>
        <w:widowControl w:val="0"/>
        <w:autoSpaceDE w:val="0"/>
        <w:autoSpaceDN w:val="0"/>
        <w:adjustRightInd w:val="0"/>
        <w:spacing w:after="120" w:line="240" w:lineRule="auto"/>
        <w:rPr>
          <w:rFonts w:ascii="Californian FB" w:hAnsi="Californian FB" w:cs="Times New Roman"/>
          <w:color w:val="000000" w:themeColor="text1"/>
          <w:sz w:val="24"/>
          <w:szCs w:val="24"/>
        </w:rPr>
      </w:pPr>
      <w:r>
        <w:rPr>
          <w:rFonts w:ascii="Californian FB" w:hAnsi="Californian FB" w:cs="Times New Roman"/>
          <w:color w:val="000000" w:themeColor="text1"/>
          <w:sz w:val="24"/>
          <w:szCs w:val="24"/>
        </w:rPr>
        <w:t>Second Circuit, 2021</w:t>
      </w:r>
      <w:r w:rsidRPr="00A65496">
        <w:rPr>
          <w:rFonts w:ascii="Californian FB" w:hAnsi="Californian FB" w:cs="Times New Roman"/>
          <w:color w:val="000000" w:themeColor="text1"/>
          <w:sz w:val="24"/>
          <w:szCs w:val="24"/>
        </w:rPr>
        <w:t xml:space="preserve">11 F.4th 26 </w:t>
      </w:r>
    </w:p>
    <w:p w14:paraId="6F381A0E" w14:textId="77777777" w:rsidR="00ED71C4" w:rsidRPr="00A65496" w:rsidRDefault="00ED71C4" w:rsidP="00ED71C4">
      <w:pPr>
        <w:widowControl w:val="0"/>
        <w:autoSpaceDE w:val="0"/>
        <w:autoSpaceDN w:val="0"/>
        <w:adjustRightInd w:val="0"/>
        <w:spacing w:after="120" w:line="240" w:lineRule="auto"/>
        <w:jc w:val="both"/>
        <w:rPr>
          <w:rFonts w:ascii="Californian FB" w:hAnsi="Californian FB" w:cs="Times New Roman"/>
          <w:color w:val="000000"/>
          <w:sz w:val="24"/>
          <w:szCs w:val="24"/>
        </w:rPr>
      </w:pPr>
      <w:hyperlink r:id="rId104" w:history="1">
        <w:r w:rsidRPr="00A65496">
          <w:rPr>
            <w:rFonts w:ascii="Californian FB" w:hAnsi="Californian FB" w:cs="Times New Roman"/>
            <w:color w:val="000000"/>
            <w:sz w:val="24"/>
            <w:szCs w:val="24"/>
          </w:rPr>
          <w:t>Gerard E. Lynch</w:t>
        </w:r>
      </w:hyperlink>
      <w:r w:rsidRPr="00A65496">
        <w:rPr>
          <w:rFonts w:ascii="Californian FB" w:hAnsi="Californian FB" w:cs="Times New Roman"/>
          <w:color w:val="000000"/>
          <w:sz w:val="24"/>
          <w:szCs w:val="24"/>
        </w:rPr>
        <w:t>, Circuit Judge:</w:t>
      </w:r>
    </w:p>
    <w:p w14:paraId="564C6DEA" w14:textId="77777777" w:rsidR="00ED71C4" w:rsidRPr="00A65496" w:rsidRDefault="00ED71C4" w:rsidP="00ED71C4">
      <w:pPr>
        <w:widowControl w:val="0"/>
        <w:autoSpaceDE w:val="0"/>
        <w:autoSpaceDN w:val="0"/>
        <w:adjustRightInd w:val="0"/>
        <w:spacing w:after="120" w:line="240" w:lineRule="auto"/>
        <w:jc w:val="center"/>
        <w:rPr>
          <w:rFonts w:ascii="Californian FB" w:hAnsi="Californian FB" w:cs="Times New Roman"/>
          <w:color w:val="000000"/>
          <w:sz w:val="24"/>
          <w:szCs w:val="24"/>
        </w:rPr>
      </w:pPr>
      <w:bookmarkStart w:id="63" w:name="co_anchor_I7a737f72a77311ec8ff3ca54c77b0"/>
      <w:bookmarkStart w:id="64" w:name="co_pp_sp_8173_32_1"/>
      <w:bookmarkEnd w:id="63"/>
      <w:bookmarkEnd w:id="64"/>
      <w:r w:rsidRPr="00A65496">
        <w:rPr>
          <w:rFonts w:ascii="Californian FB" w:hAnsi="Californian FB" w:cs="Times New Roman"/>
          <w:color w:val="000000"/>
          <w:sz w:val="24"/>
          <w:szCs w:val="24"/>
        </w:rPr>
        <w:t>* * * *</w:t>
      </w:r>
    </w:p>
    <w:p w14:paraId="4D219A53"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[Lynn] Goldsmith is a professional photographer primarily focusing on celebrity photography, including portrait and concert photography of rock-and-roll musicians. Goldsmith has been active since the 1960s, and her work has been featured widely, including on over 100 record album covers.</w:t>
      </w:r>
      <w:r>
        <w:rPr>
          <w:rFonts w:ascii="Californian FB" w:hAnsi="Californian FB" w:cs="Times New Roman"/>
          <w:color w:val="000000"/>
          <w:sz w:val="24"/>
          <w:szCs w:val="24"/>
        </w:rPr>
        <w:t xml:space="preserve"> * * * </w:t>
      </w:r>
    </w:p>
    <w:p w14:paraId="1D2A46B5" w14:textId="77777777" w:rsidR="00ED71C4"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Andy Warhol, né Andrew </w:t>
      </w:r>
      <w:proofErr w:type="spellStart"/>
      <w:r w:rsidRPr="00A65496">
        <w:rPr>
          <w:rFonts w:ascii="Californian FB" w:hAnsi="Californian FB" w:cs="Times New Roman"/>
          <w:color w:val="000000"/>
          <w:sz w:val="24"/>
          <w:szCs w:val="24"/>
        </w:rPr>
        <w:t>Warhola</w:t>
      </w:r>
      <w:proofErr w:type="spellEnd"/>
      <w:r w:rsidRPr="00A65496">
        <w:rPr>
          <w:rFonts w:ascii="Californian FB" w:hAnsi="Californian FB" w:cs="Times New Roman"/>
          <w:color w:val="000000"/>
          <w:sz w:val="24"/>
          <w:szCs w:val="24"/>
        </w:rPr>
        <w:t>, was an artist recognized for his significant contributions to contemporary art in a variety of media. Warhol is particularly known for his silkscreen portraits of contemporary celebrities. Much of his work is broadly understood as “comment[</w:t>
      </w:r>
      <w:proofErr w:type="spellStart"/>
      <w:r w:rsidRPr="00A65496">
        <w:rPr>
          <w:rFonts w:ascii="Californian FB" w:hAnsi="Californian FB" w:cs="Times New Roman"/>
          <w:color w:val="000000"/>
          <w:sz w:val="24"/>
          <w:szCs w:val="24"/>
        </w:rPr>
        <w:t>ing</w:t>
      </w:r>
      <w:proofErr w:type="spellEnd"/>
      <w:r w:rsidRPr="00A65496">
        <w:rPr>
          <w:rFonts w:ascii="Californian FB" w:hAnsi="Californian FB" w:cs="Times New Roman"/>
          <w:color w:val="000000"/>
          <w:sz w:val="24"/>
          <w:szCs w:val="24"/>
        </w:rPr>
        <w:t xml:space="preserve">] </w:t>
      </w:r>
      <w:r w:rsidRPr="00A65496">
        <w:rPr>
          <w:rFonts w:ascii="Californian FB" w:hAnsi="Californian FB" w:cs="Times New Roman"/>
          <w:color w:val="000000"/>
          <w:sz w:val="24"/>
          <w:szCs w:val="24"/>
        </w:rPr>
        <w:lastRenderedPageBreak/>
        <w:t xml:space="preserve">on consumer culture and </w:t>
      </w:r>
      <w:proofErr w:type="spellStart"/>
      <w:r w:rsidRPr="00A65496">
        <w:rPr>
          <w:rFonts w:ascii="Californian FB" w:hAnsi="Californian FB" w:cs="Times New Roman"/>
          <w:color w:val="000000"/>
          <w:sz w:val="24"/>
          <w:szCs w:val="24"/>
        </w:rPr>
        <w:t>explor</w:t>
      </w:r>
      <w:proofErr w:type="spellEnd"/>
      <w:r w:rsidRPr="00A65496">
        <w:rPr>
          <w:rFonts w:ascii="Californian FB" w:hAnsi="Californian FB" w:cs="Times New Roman"/>
          <w:color w:val="000000"/>
          <w:sz w:val="24"/>
          <w:szCs w:val="24"/>
        </w:rPr>
        <w:t>[</w:t>
      </w:r>
      <w:proofErr w:type="spellStart"/>
      <w:r w:rsidRPr="00A65496">
        <w:rPr>
          <w:rFonts w:ascii="Californian FB" w:hAnsi="Californian FB" w:cs="Times New Roman"/>
          <w:color w:val="000000"/>
          <w:sz w:val="24"/>
          <w:szCs w:val="24"/>
        </w:rPr>
        <w:t>ing</w:t>
      </w:r>
      <w:proofErr w:type="spellEnd"/>
      <w:r w:rsidRPr="00A65496">
        <w:rPr>
          <w:rFonts w:ascii="Californian FB" w:hAnsi="Californian FB" w:cs="Times New Roman"/>
          <w:color w:val="000000"/>
          <w:sz w:val="24"/>
          <w:szCs w:val="24"/>
        </w:rPr>
        <w:t xml:space="preserve">] the relationship between celebrity culture and advertising.” </w:t>
      </w:r>
      <w:hyperlink r:id="rId105" w:anchor="co_pp_sp_506_706"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i/>
            <w:iCs/>
            <w:color w:val="000000"/>
            <w:sz w:val="24"/>
            <w:szCs w:val="24"/>
          </w:rPr>
          <w:t xml:space="preserve"> v. Prince</w:t>
        </w:r>
        <w:r w:rsidRPr="00A65496">
          <w:rPr>
            <w:rFonts w:ascii="Californian FB" w:hAnsi="Californian FB" w:cs="Times New Roman"/>
            <w:color w:val="000000"/>
            <w:sz w:val="24"/>
            <w:szCs w:val="24"/>
          </w:rPr>
          <w:t>, 714 F.3d 694, 706 (2d Cir. 2013)</w:t>
        </w:r>
      </w:hyperlink>
      <w:r w:rsidRPr="00A65496">
        <w:rPr>
          <w:rFonts w:ascii="Californian FB" w:hAnsi="Californian FB" w:cs="Times New Roman"/>
          <w:color w:val="000000"/>
          <w:sz w:val="24"/>
          <w:szCs w:val="24"/>
        </w:rPr>
        <w:t>. AWF is a New York not-for-profit corporation established in 1987 after Warhol’s death. AWF holds title to and copyright in much of Warhol’s work, which it licenses to generate revenue to further its mission of advancing the visual arts</w:t>
      </w:r>
      <w:r>
        <w:rPr>
          <w:rFonts w:ascii="Californian FB" w:hAnsi="Californian FB" w:cs="Times New Roman"/>
          <w:color w:val="000000"/>
          <w:sz w:val="24"/>
          <w:szCs w:val="24"/>
        </w:rPr>
        <w:t xml:space="preserve"> </w:t>
      </w:r>
      <w:proofErr w:type="gramStart"/>
      <w:r>
        <w:rPr>
          <w:rFonts w:ascii="Californian FB" w:hAnsi="Californian FB" w:cs="Times New Roman"/>
          <w:color w:val="000000"/>
          <w:sz w:val="24"/>
          <w:szCs w:val="24"/>
        </w:rPr>
        <w:t>. . . .</w:t>
      </w:r>
      <w:proofErr w:type="gramEnd"/>
    </w:p>
    <w:p w14:paraId="79E75E73" w14:textId="5D2B7DB5" w:rsidR="00ED71C4" w:rsidRPr="00A65496" w:rsidRDefault="008654BE"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noProof/>
          <w:color w:val="000000"/>
          <w:sz w:val="24"/>
          <w:szCs w:val="24"/>
        </w:rPr>
        <w:drawing>
          <wp:anchor distT="0" distB="0" distL="114300" distR="114300" simplePos="0" relativeHeight="251747328" behindDoc="0" locked="0" layoutInCell="1" allowOverlap="1" wp14:anchorId="21645C14" wp14:editId="4FB630AD">
            <wp:simplePos x="0" y="0"/>
            <wp:positionH relativeFrom="column">
              <wp:posOffset>13970</wp:posOffset>
            </wp:positionH>
            <wp:positionV relativeFrom="paragraph">
              <wp:posOffset>699770</wp:posOffset>
            </wp:positionV>
            <wp:extent cx="2195195" cy="3284855"/>
            <wp:effectExtent l="0" t="0" r="0" b="0"/>
            <wp:wrapSquare wrapText="bothSides"/>
            <wp:docPr id="55" name="Picture 5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95195" cy="328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1C4" w:rsidRPr="00A65496">
        <w:rPr>
          <w:rFonts w:ascii="Californian FB" w:hAnsi="Californian FB" w:cs="Times New Roman"/>
          <w:color w:val="000000"/>
          <w:sz w:val="24"/>
          <w:szCs w:val="24"/>
        </w:rPr>
        <w:t xml:space="preserve"> On December 3, 1981, while on assignment from Newsweek magazine, Goldsmith took a series of portrait photographs of (then) up-and-coming musician Prince Rogers Nelson (known through most of his career simply as “Prince”) in her studio. Goldsmith testified that, prior to Prince’s arrival at her studio, she arranged the lighting in a way to showcase his “chiseled bone structure.” </w:t>
      </w:r>
      <w:r w:rsidR="00ED71C4" w:rsidRPr="00A65496">
        <w:rPr>
          <w:rFonts w:ascii="Californian FB" w:hAnsi="Californian FB" w:cs="Times New Roman"/>
          <w:i/>
          <w:iCs/>
          <w:color w:val="000000"/>
          <w:sz w:val="24"/>
          <w:szCs w:val="24"/>
        </w:rPr>
        <w:t>Id.</w:t>
      </w:r>
      <w:r w:rsidR="00ED71C4" w:rsidRPr="00A65496">
        <w:rPr>
          <w:rFonts w:ascii="Californian FB" w:hAnsi="Californian FB" w:cs="Times New Roman"/>
          <w:color w:val="000000"/>
          <w:sz w:val="24"/>
          <w:szCs w:val="24"/>
        </w:rPr>
        <w:t xml:space="preserve"> at 706. Goldsmith also applied additional makeup to Prince, including eyeshadow and lip gloss, which she testified was intended both to build a rapport with Prince and to accentuate his sensuality. Goldsmith further testified that she was trying to capture Prince’s “willing[ness] to bust through what must be [his] immense fears to make the work that [he] wanted to [make].” </w:t>
      </w:r>
      <w:r w:rsidR="00ED71C4" w:rsidRPr="00A65496">
        <w:rPr>
          <w:rFonts w:ascii="Californian FB" w:hAnsi="Californian FB" w:cs="Times New Roman"/>
          <w:i/>
          <w:iCs/>
          <w:color w:val="000000"/>
          <w:sz w:val="24"/>
          <w:szCs w:val="24"/>
        </w:rPr>
        <w:t>Id.</w:t>
      </w:r>
      <w:r w:rsidR="00ED71C4" w:rsidRPr="00A65496">
        <w:rPr>
          <w:rFonts w:ascii="Californian FB" w:hAnsi="Californian FB" w:cs="Times New Roman"/>
          <w:color w:val="000000"/>
          <w:sz w:val="24"/>
          <w:szCs w:val="24"/>
        </w:rPr>
        <w:t xml:space="preserve"> at 1557. Goldsmith took black-and-white and color photographs using a Nikon 35-mm camera and a mixture of 85- and 105-mm lenses, which she chose to best capture the shape of Prince’s face.</w:t>
      </w:r>
    </w:p>
    <w:p w14:paraId="3C1F53AB" w14:textId="1053A31A"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w:t>
      </w:r>
      <w:r>
        <w:rPr>
          <w:rFonts w:ascii="Californian FB" w:hAnsi="Californian FB" w:cs="Times New Roman"/>
          <w:color w:val="000000"/>
          <w:sz w:val="24"/>
          <w:szCs w:val="24"/>
        </w:rPr>
        <w:t xml:space="preserve">* * * </w:t>
      </w:r>
      <w:r w:rsidRPr="00A65496">
        <w:rPr>
          <w:rFonts w:ascii="Californian FB" w:hAnsi="Californian FB" w:cs="Times New Roman"/>
          <w:color w:val="000000"/>
          <w:sz w:val="24"/>
          <w:szCs w:val="24"/>
        </w:rPr>
        <w:t>During the truncated session, Goldsmith took 23 photographs, 12 in black and white and 11 in color. Goldsmith retained copyright in each of the photographs that she took. Most relevant to this litigation is the following photograph, hereinafter referred to as the “Goldsmith Photograph”:</w:t>
      </w:r>
    </w:p>
    <w:p w14:paraId="18D9A48F"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w:t>
      </w:r>
      <w:bookmarkStart w:id="65" w:name="co_pp_sp_8173_34_1"/>
      <w:bookmarkStart w:id="66" w:name="co_anchor_I7a5e70d0a77311ec8ff3ca54c77b0"/>
      <w:bookmarkEnd w:id="65"/>
      <w:bookmarkEnd w:id="66"/>
      <w:r w:rsidRPr="00A65496">
        <w:rPr>
          <w:rFonts w:ascii="Californian FB" w:hAnsi="Californian FB" w:cs="Times New Roman"/>
          <w:color w:val="000000"/>
          <w:sz w:val="24"/>
          <w:szCs w:val="24"/>
        </w:rPr>
        <w:t xml:space="preserve">In 1984, Goldsmith, through </w:t>
      </w:r>
      <w:r>
        <w:rPr>
          <w:rFonts w:ascii="Californian FB" w:hAnsi="Californian FB" w:cs="Times New Roman"/>
          <w:color w:val="000000"/>
          <w:sz w:val="24"/>
          <w:szCs w:val="24"/>
        </w:rPr>
        <w:t xml:space="preserve">[her photo agency] </w:t>
      </w:r>
      <w:r w:rsidRPr="00A65496">
        <w:rPr>
          <w:rFonts w:ascii="Californian FB" w:hAnsi="Californian FB" w:cs="Times New Roman"/>
          <w:color w:val="000000"/>
          <w:sz w:val="24"/>
          <w:szCs w:val="24"/>
        </w:rPr>
        <w:t xml:space="preserve">LGL, licensed the Goldsmith Photograph to Vanity Fair magazine for use as an artist reference. </w:t>
      </w:r>
      <w:proofErr w:type="spellStart"/>
      <w:r w:rsidRPr="00A65496">
        <w:rPr>
          <w:rFonts w:ascii="Californian FB" w:hAnsi="Californian FB" w:cs="Times New Roman"/>
          <w:color w:val="000000"/>
          <w:sz w:val="24"/>
          <w:szCs w:val="24"/>
        </w:rPr>
        <w:t>Esin</w:t>
      </w:r>
      <w:proofErr w:type="spellEnd"/>
      <w:r w:rsidRPr="00A65496">
        <w:rPr>
          <w:rFonts w:ascii="Californian FB" w:hAnsi="Californian FB" w:cs="Times New Roman"/>
          <w:color w:val="000000"/>
          <w:sz w:val="24"/>
          <w:szCs w:val="24"/>
        </w:rPr>
        <w:t xml:space="preserve"> </w:t>
      </w:r>
      <w:proofErr w:type="spellStart"/>
      <w:r w:rsidRPr="00A65496">
        <w:rPr>
          <w:rFonts w:ascii="Californian FB" w:hAnsi="Californian FB" w:cs="Times New Roman"/>
          <w:color w:val="000000"/>
          <w:sz w:val="24"/>
          <w:szCs w:val="24"/>
        </w:rPr>
        <w:t>Goknar</w:t>
      </w:r>
      <w:proofErr w:type="spellEnd"/>
      <w:r w:rsidRPr="00A65496">
        <w:rPr>
          <w:rFonts w:ascii="Californian FB" w:hAnsi="Californian FB" w:cs="Times New Roman"/>
          <w:color w:val="000000"/>
          <w:sz w:val="24"/>
          <w:szCs w:val="24"/>
        </w:rPr>
        <w:t xml:space="preserve">, who was photo editor at Vanity Fair in 1984, testified that the term “artist reference” meant that an artist “would create a work of art based on [the] image reference.” </w:t>
      </w:r>
      <w:r w:rsidRPr="00A65496">
        <w:rPr>
          <w:rFonts w:ascii="Californian FB" w:hAnsi="Californian FB" w:cs="Times New Roman"/>
          <w:i/>
          <w:iCs/>
          <w:color w:val="000000"/>
          <w:sz w:val="24"/>
          <w:szCs w:val="24"/>
        </w:rPr>
        <w:t>Id.</w:t>
      </w:r>
      <w:r w:rsidRPr="00A65496">
        <w:rPr>
          <w:rFonts w:ascii="Californian FB" w:hAnsi="Californian FB" w:cs="Times New Roman"/>
          <w:color w:val="000000"/>
          <w:sz w:val="24"/>
          <w:szCs w:val="24"/>
        </w:rPr>
        <w:t xml:space="preserve"> at 783. The license permitted Vanity Fair to publish an illustration based on the Goldsmith Photograph in its November 1984 issue, once as a full page and once as a quarter page. The license further required that the illustration be accompanied by an attribution to Goldsmith. Goldsmith was unaware of the license at the time and played no role in selecting the Goldsmith Photograph for submission to Vanity Fair.</w:t>
      </w:r>
    </w:p>
    <w:p w14:paraId="708AC8D4"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Vanity Fair, in turn, commissioned Warhol to create an image of Prince for its November 1984 issue. Warhol’s illustration, together with an attribution to Goldsmith, was published accompanying an article about Prince by Tristan Vox and appeared as follows:</w:t>
      </w:r>
    </w:p>
    <w:p w14:paraId="174766C7"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67" w:name="co_anchor_I7a5e70d2a77311ec8ff3ca54c77b0"/>
      <w:bookmarkEnd w:id="67"/>
      <w:r>
        <w:rPr>
          <w:noProof/>
        </w:rPr>
        <w:lastRenderedPageBreak/>
        <w:drawing>
          <wp:anchor distT="0" distB="0" distL="114300" distR="114300" simplePos="0" relativeHeight="251749376" behindDoc="0" locked="0" layoutInCell="1" allowOverlap="1" wp14:anchorId="3C6DBDBE" wp14:editId="307B4654">
            <wp:simplePos x="0" y="0"/>
            <wp:positionH relativeFrom="column">
              <wp:posOffset>1842770</wp:posOffset>
            </wp:positionH>
            <wp:positionV relativeFrom="paragraph">
              <wp:posOffset>48260</wp:posOffset>
            </wp:positionV>
            <wp:extent cx="4119245" cy="2679065"/>
            <wp:effectExtent l="0" t="0" r="0"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924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496">
        <w:rPr>
          <w:rFonts w:ascii="Californian FB" w:hAnsi="Californian FB" w:cs="Times New Roman"/>
          <w:color w:val="000000"/>
          <w:sz w:val="24"/>
          <w:szCs w:val="24"/>
        </w:rPr>
        <w:t>In addition to the credit that ran alongside the image, a separate attribution to Goldsmith was included elsewhere in the issue, crediting her with the “source photograph” for the Warhol illustration. Vanity Fair did not advise Goldsmith that Warhol was the artist for whom her work would serve as a reference, and she did not see the article when it was initially published.</w:t>
      </w:r>
    </w:p>
    <w:p w14:paraId="293E9A37" w14:textId="2F6ACCCA"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noProof/>
          <w:color w:val="000000"/>
          <w:sz w:val="24"/>
          <w:szCs w:val="24"/>
        </w:rPr>
        <w:drawing>
          <wp:anchor distT="0" distB="0" distL="114300" distR="114300" simplePos="0" relativeHeight="251748352" behindDoc="0" locked="0" layoutInCell="1" allowOverlap="1" wp14:anchorId="1320B534" wp14:editId="3490953D">
            <wp:simplePos x="0" y="0"/>
            <wp:positionH relativeFrom="column">
              <wp:posOffset>-33020</wp:posOffset>
            </wp:positionH>
            <wp:positionV relativeFrom="paragraph">
              <wp:posOffset>828040</wp:posOffset>
            </wp:positionV>
            <wp:extent cx="5705475" cy="2562225"/>
            <wp:effectExtent l="0" t="0" r="9525" b="9525"/>
            <wp:wrapSquare wrapText="bothSides"/>
            <wp:docPr id="57" name="Picture 57">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0547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496">
        <w:rPr>
          <w:rFonts w:ascii="Californian FB" w:hAnsi="Californian FB" w:cs="Times New Roman"/>
          <w:color w:val="000000"/>
          <w:sz w:val="24"/>
          <w:szCs w:val="24"/>
        </w:rPr>
        <w:t>Unbeknownst to Goldsmith and LGL, Warhol created 15 additional works based on the Goldsmith Photograph, known collectively, and together with the Vanity Fair image, as the “Prince Series.”</w:t>
      </w:r>
      <w:bookmarkStart w:id="68" w:name="co_fnRef_B00022054368247_ID0E3JBI_1"/>
      <w:bookmarkEnd w:id="68"/>
      <w:r w:rsidRPr="00A65496">
        <w:rPr>
          <w:rFonts w:ascii="Californian FB" w:hAnsi="Californian FB" w:cs="Times New Roman"/>
          <w:color w:val="000000"/>
          <w:sz w:val="24"/>
          <w:szCs w:val="24"/>
        </w:rPr>
        <w:t xml:space="preserve"> The Prince Series comprises fourteen silkscreen prints (twelve on canvas, two on paper) and two pencil illustrations, and includes the following images:</w:t>
      </w:r>
      <w:bookmarkStart w:id="69" w:name="co_pp_sp_8173_35_1"/>
      <w:bookmarkStart w:id="70" w:name="co_anchor_I7a5e70d4a77311ec8ff3ca54c77b0"/>
      <w:bookmarkEnd w:id="69"/>
      <w:bookmarkEnd w:id="70"/>
      <w:r w:rsidRPr="00A65496">
        <w:rPr>
          <w:rFonts w:ascii="Californian FB" w:hAnsi="Californian FB" w:cs="Times New Roman"/>
          <w:color w:val="000000"/>
          <w:sz w:val="24"/>
          <w:szCs w:val="24"/>
        </w:rPr>
        <w:fldChar w:fldCharType="begin"/>
      </w:r>
      <w:r w:rsidRPr="00A65496">
        <w:rPr>
          <w:rFonts w:ascii="Californian FB" w:hAnsi="Californian FB" w:cs="Times New Roman"/>
          <w:color w:val="000000"/>
          <w:sz w:val="24"/>
          <w:szCs w:val="24"/>
        </w:rPr>
        <w:instrText xml:space="preserve">HYPERLINK "http://www.westlaw.com/Link/Document/Blob/I825991c005cf11ec96e9bc77c7a6afc6.png?originationContext=document&amp;vr=3.0&amp;rs=cblt1.0&amp;transitionType=DocumentImage&amp;contextData=(sc.Default)" </w:instrText>
      </w:r>
      <w:r w:rsidRPr="00A65496">
        <w:rPr>
          <w:rFonts w:ascii="Californian FB" w:hAnsi="Californian FB" w:cs="Times New Roman"/>
          <w:color w:val="000000"/>
          <w:sz w:val="24"/>
          <w:szCs w:val="24"/>
        </w:rPr>
        <w:fldChar w:fldCharType="separate"/>
      </w:r>
      <w:r w:rsidRPr="00A65496">
        <w:rPr>
          <w:rFonts w:ascii="Times New Roman" w:hAnsi="Times New Roman" w:cs="Times New Roman"/>
          <w:color w:val="000000"/>
          <w:sz w:val="24"/>
          <w:szCs w:val="24"/>
        </w:rPr>
        <w:t>​</w:t>
      </w:r>
      <w:r w:rsidRPr="00A65496">
        <w:rPr>
          <w:rFonts w:ascii="Californian FB" w:hAnsi="Californian FB" w:cs="Times New Roman"/>
          <w:color w:val="000000"/>
          <w:sz w:val="24"/>
          <w:szCs w:val="24"/>
        </w:rPr>
        <w:fldChar w:fldCharType="end"/>
      </w:r>
    </w:p>
    <w:p w14:paraId="61AEF31D" w14:textId="7341691F" w:rsidR="00ED71C4"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 </w:t>
      </w:r>
    </w:p>
    <w:p w14:paraId="0FB19626"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Pr>
          <w:rFonts w:ascii="Californian FB" w:hAnsi="Californian FB" w:cs="Times New Roman"/>
          <w:color w:val="000000"/>
          <w:sz w:val="24"/>
          <w:szCs w:val="24"/>
        </w:rPr>
        <w:t>* * *</w:t>
      </w:r>
      <w:r w:rsidRPr="00A65496">
        <w:rPr>
          <w:rFonts w:ascii="Californian FB" w:hAnsi="Californian FB" w:cs="Times New Roman"/>
          <w:color w:val="000000"/>
          <w:sz w:val="24"/>
          <w:szCs w:val="24"/>
        </w:rPr>
        <w:t>.</w:t>
      </w:r>
    </w:p>
    <w:p w14:paraId="2AD9F7E3"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At some point after Warhol’s death, AWF acquired title to and copyright in the Prince Series. Between 1993 and 2004, AWF sold or otherwise transferred custody of 12 of the original Prince Series works to third parties, and, in 1998, transferred custody of the other four works to The Andy Warhol Museum. AWF retains copyright in the Prince Series images and, through The Artist Rights Society (a third-party organization that serves as AWF’s agent), continues to license the images for editorial, commercial, and museum usage.</w:t>
      </w:r>
    </w:p>
    <w:p w14:paraId="07078F44"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On April 22, 2016, the day after Prince died, Condé Nast, Vanity Fair’s parent company, </w:t>
      </w:r>
      <w:r w:rsidRPr="00A65496">
        <w:rPr>
          <w:rFonts w:ascii="Californian FB" w:hAnsi="Californian FB" w:cs="Times New Roman"/>
          <w:color w:val="000000"/>
          <w:sz w:val="24"/>
          <w:szCs w:val="24"/>
        </w:rPr>
        <w:lastRenderedPageBreak/>
        <w:t>contacted AWF. Its initial intent in doing so was to determine whether AWF still had the 1984 image, which Condé Nast hoped to use in connection with a planned magazine commemorating Prince’s life. After learning that AWF had additional images from the Prince Series, Condé Nast ultimately obtained a commercial license, to be exclusive for three months, for a different Prince Series image for the cover of the planned tribute magazine. Condé Nast published the tribute magazine in May 2016 with a Prince Series image on the cover. Goldsmith was not given any credit or attribution for the image, which was instead attributed solely to AWF.</w:t>
      </w:r>
    </w:p>
    <w:p w14:paraId="480FE856"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It was at that point that Goldsmith first became aware of the Prince Series. In late July 2016, Goldsmith contacted AWF to advise it of the perceived infringement of her copyright. That November, Goldsmith registered the Goldsmith Photograph with the U.S. Copyright Office as an unpublished work. On April 7, 2017, AWF sued Goldsmith and LGL for a declaratory judgment of non-infringement or, in the alternative, fair use. Goldsmith countersued for copyright infringement under </w:t>
      </w:r>
      <w:hyperlink r:id="rId111" w:history="1">
        <w:r w:rsidRPr="00A65496">
          <w:rPr>
            <w:rFonts w:ascii="Californian FB" w:hAnsi="Californian FB" w:cs="Times New Roman"/>
            <w:color w:val="000000"/>
            <w:sz w:val="24"/>
            <w:szCs w:val="24"/>
          </w:rPr>
          <w:t>17 U.S.C. §§ 106</w:t>
        </w:r>
      </w:hyperlink>
      <w:r w:rsidRPr="00A65496">
        <w:rPr>
          <w:rFonts w:ascii="Californian FB" w:hAnsi="Californian FB" w:cs="Times New Roman"/>
          <w:color w:val="000000"/>
          <w:sz w:val="24"/>
          <w:szCs w:val="24"/>
        </w:rPr>
        <w:t xml:space="preserve">, </w:t>
      </w:r>
      <w:hyperlink r:id="rId112" w:history="1">
        <w:r w:rsidRPr="00A65496">
          <w:rPr>
            <w:rFonts w:ascii="Californian FB" w:hAnsi="Californian FB" w:cs="Times New Roman"/>
            <w:color w:val="000000"/>
            <w:sz w:val="24"/>
            <w:szCs w:val="24"/>
          </w:rPr>
          <w:t>501</w:t>
        </w:r>
      </w:hyperlink>
      <w:r w:rsidRPr="00A65496">
        <w:rPr>
          <w:rFonts w:ascii="Californian FB" w:hAnsi="Californian FB" w:cs="Times New Roman"/>
          <w:color w:val="000000"/>
          <w:sz w:val="24"/>
          <w:szCs w:val="24"/>
        </w:rPr>
        <w:t>.</w:t>
      </w:r>
    </w:p>
    <w:p w14:paraId="255113C5"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On July 1, 2019, the district court granted summary judgment for AWF on its fair-use claim. </w:t>
      </w:r>
      <w:bookmarkStart w:id="71" w:name="co_pp_sp_8173_36_1"/>
      <w:bookmarkEnd w:id="71"/>
      <w:r>
        <w:rPr>
          <w:rFonts w:ascii="Californian FB" w:hAnsi="Californian FB" w:cs="Times New Roman"/>
          <w:color w:val="000000"/>
          <w:sz w:val="24"/>
          <w:szCs w:val="24"/>
        </w:rPr>
        <w:t xml:space="preserve"> * * * </w:t>
      </w:r>
      <w:r w:rsidRPr="00A65496">
        <w:rPr>
          <w:rFonts w:ascii="Californian FB" w:hAnsi="Californian FB" w:cs="Times New Roman"/>
          <w:color w:val="000000"/>
          <w:sz w:val="24"/>
          <w:szCs w:val="24"/>
        </w:rPr>
        <w:t>This appeal followed.</w:t>
      </w:r>
    </w:p>
    <w:p w14:paraId="32702EF4" w14:textId="77777777" w:rsidR="00ED71C4" w:rsidRPr="00A65496" w:rsidRDefault="00ED71C4" w:rsidP="00ED71C4">
      <w:pPr>
        <w:widowControl w:val="0"/>
        <w:autoSpaceDE w:val="0"/>
        <w:autoSpaceDN w:val="0"/>
        <w:adjustRightInd w:val="0"/>
        <w:spacing w:before="120" w:after="120"/>
        <w:ind w:firstLine="288"/>
        <w:jc w:val="center"/>
        <w:rPr>
          <w:rFonts w:ascii="Californian FB" w:hAnsi="Californian FB" w:cs="Times New Roman"/>
          <w:b/>
          <w:bCs/>
          <w:color w:val="000000"/>
          <w:sz w:val="24"/>
          <w:szCs w:val="24"/>
        </w:rPr>
      </w:pPr>
      <w:r w:rsidRPr="00A65496">
        <w:rPr>
          <w:rFonts w:ascii="Californian FB" w:hAnsi="Californian FB" w:cs="Times New Roman"/>
          <w:b/>
          <w:bCs/>
          <w:color w:val="000000"/>
          <w:sz w:val="24"/>
          <w:szCs w:val="24"/>
        </w:rPr>
        <w:t>DISCUSSION</w:t>
      </w:r>
    </w:p>
    <w:p w14:paraId="14C61DEF" w14:textId="77777777" w:rsidR="00ED71C4" w:rsidRPr="00A65496" w:rsidRDefault="00ED71C4" w:rsidP="00ED71C4">
      <w:pPr>
        <w:widowControl w:val="0"/>
        <w:autoSpaceDE w:val="0"/>
        <w:autoSpaceDN w:val="0"/>
        <w:adjustRightInd w:val="0"/>
        <w:spacing w:after="120"/>
        <w:ind w:firstLine="288"/>
        <w:jc w:val="center"/>
        <w:rPr>
          <w:rFonts w:ascii="Californian FB" w:hAnsi="Californian FB" w:cs="Times New Roman"/>
          <w:color w:val="000000"/>
          <w:sz w:val="24"/>
          <w:szCs w:val="24"/>
        </w:rPr>
      </w:pPr>
      <w:bookmarkStart w:id="72" w:name="co_anchor_I7a7db8a1a77311ec8ff3ca54c77b0"/>
      <w:bookmarkStart w:id="73" w:name="co_anchor_B32054368247_1"/>
      <w:bookmarkEnd w:id="72"/>
      <w:bookmarkEnd w:id="73"/>
      <w:r w:rsidRPr="00A65496">
        <w:rPr>
          <w:rFonts w:ascii="Californian FB" w:hAnsi="Californian FB" w:cs="Times New Roman"/>
          <w:color w:val="000000"/>
          <w:sz w:val="24"/>
          <w:szCs w:val="24"/>
        </w:rPr>
        <w:t>* * * *</w:t>
      </w:r>
    </w:p>
    <w:p w14:paraId="0F7724C1"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[T]he Supreme Court has explained that courts must “apply [fair use] in light of the sometimes conflicting aims of copyright law” and that “copyright’s protection may be stronger where the copyrighted material ... serves an artistic rather than a utilitarian function.” </w:t>
      </w:r>
      <w:hyperlink r:id="rId113" w:anchor="co_pp_sp_708_1197" w:history="1">
        <w:r w:rsidRPr="00A65496">
          <w:rPr>
            <w:rFonts w:ascii="Californian FB" w:hAnsi="Californian FB" w:cs="Times New Roman"/>
            <w:i/>
            <w:iCs/>
            <w:color w:val="000000"/>
            <w:sz w:val="24"/>
            <w:szCs w:val="24"/>
          </w:rPr>
          <w:t>Google</w:t>
        </w:r>
        <w:r w:rsidRPr="00A65496">
          <w:rPr>
            <w:rFonts w:ascii="Californian FB" w:hAnsi="Californian FB" w:cs="Times New Roman"/>
            <w:color w:val="000000"/>
            <w:sz w:val="24"/>
            <w:szCs w:val="24"/>
          </w:rPr>
          <w:t>, 141 S. Ct. at 1197</w:t>
        </w:r>
      </w:hyperlink>
      <w:r w:rsidRPr="00A65496">
        <w:rPr>
          <w:rFonts w:ascii="Californian FB" w:hAnsi="Californian FB" w:cs="Times New Roman"/>
          <w:color w:val="000000"/>
          <w:sz w:val="24"/>
          <w:szCs w:val="24"/>
        </w:rPr>
        <w:t>.</w:t>
      </w:r>
    </w:p>
    <w:p w14:paraId="68C9CC2A"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With those competing goals in mind, we consider each factor to determine whether AWF can avail itself of the fair-use defense in this case. We hold that it cannot.</w:t>
      </w:r>
    </w:p>
    <w:p w14:paraId="20AA4F1C"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i/>
          <w:iCs/>
          <w:color w:val="000000"/>
          <w:sz w:val="24"/>
          <w:szCs w:val="24"/>
        </w:rPr>
      </w:pPr>
      <w:r w:rsidRPr="00A65496">
        <w:rPr>
          <w:rFonts w:ascii="Californian FB" w:hAnsi="Californian FB" w:cs="Times New Roman"/>
          <w:color w:val="000000"/>
          <w:sz w:val="24"/>
          <w:szCs w:val="24"/>
        </w:rPr>
        <w:t> </w:t>
      </w:r>
      <w:bookmarkStart w:id="74" w:name="co_anchor_I7a81fe61a77311ec8ff3ca54c77b0"/>
      <w:bookmarkEnd w:id="74"/>
      <w:r w:rsidRPr="00A65496">
        <w:rPr>
          <w:rFonts w:ascii="Californian FB" w:hAnsi="Californian FB" w:cs="Times New Roman"/>
          <w:i/>
          <w:iCs/>
          <w:color w:val="000000"/>
          <w:sz w:val="24"/>
          <w:szCs w:val="24"/>
        </w:rPr>
        <w:t>A. The Purpose and Character of The Use</w:t>
      </w:r>
    </w:p>
    <w:p w14:paraId="40A9B592"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75" w:name="co_anchor_B62054368247_1"/>
      <w:bookmarkEnd w:id="75"/>
      <w:r w:rsidRPr="00A65496">
        <w:rPr>
          <w:rFonts w:ascii="Californian FB" w:hAnsi="Californian FB" w:cs="Times New Roman"/>
          <w:color w:val="000000"/>
          <w:sz w:val="24"/>
          <w:szCs w:val="24"/>
        </w:rPr>
        <w:t>This factor requires courts to consider the extent to which the secondary work is “transformative,” as well as whether it is commercial</w:t>
      </w:r>
      <w:proofErr w:type="gramStart"/>
      <w:r w:rsidRPr="00A65496">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r w:rsidRPr="00A65496">
        <w:rPr>
          <w:rFonts w:ascii="Californian FB" w:hAnsi="Californian FB" w:cs="Times New Roman"/>
          <w:color w:val="000000"/>
          <w:sz w:val="24"/>
          <w:szCs w:val="24"/>
        </w:rPr>
        <w:t xml:space="preserve"> </w:t>
      </w:r>
    </w:p>
    <w:p w14:paraId="49A7780E" w14:textId="77777777" w:rsidR="00ED71C4" w:rsidRPr="00A65496" w:rsidRDefault="00ED71C4" w:rsidP="00ED71C4">
      <w:pPr>
        <w:widowControl w:val="0"/>
        <w:autoSpaceDE w:val="0"/>
        <w:autoSpaceDN w:val="0"/>
        <w:adjustRightInd w:val="0"/>
        <w:spacing w:after="120"/>
        <w:ind w:firstLine="288"/>
        <w:jc w:val="center"/>
        <w:rPr>
          <w:rFonts w:ascii="Californian FB" w:hAnsi="Californian FB" w:cs="Times New Roman"/>
          <w:color w:val="000000"/>
          <w:sz w:val="24"/>
          <w:szCs w:val="24"/>
        </w:rPr>
      </w:pPr>
      <w:bookmarkStart w:id="76" w:name="co_anchor_I7a824c81a77311ec8ff3ca54c77b0"/>
      <w:bookmarkEnd w:id="76"/>
      <w:r w:rsidRPr="00A65496">
        <w:rPr>
          <w:rFonts w:ascii="Californian FB" w:hAnsi="Californian FB" w:cs="Times New Roman"/>
          <w:color w:val="000000"/>
          <w:sz w:val="24"/>
          <w:szCs w:val="24"/>
        </w:rPr>
        <w:t>1. Transformative Works and Derivative Works</w:t>
      </w:r>
    </w:p>
    <w:p w14:paraId="38B59F02"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77" w:name="co_anchor_B72054368247_1"/>
      <w:bookmarkStart w:id="78" w:name="co_anchor_B82054368247_1"/>
      <w:bookmarkEnd w:id="77"/>
      <w:bookmarkEnd w:id="78"/>
      <w:r w:rsidRPr="00A65496">
        <w:rPr>
          <w:rFonts w:ascii="Californian FB" w:hAnsi="Californian FB" w:cs="Times New Roman"/>
          <w:color w:val="000000"/>
          <w:sz w:val="24"/>
          <w:szCs w:val="24"/>
        </w:rPr>
        <w:t xml:space="preserve">Following the Supreme Court’s decision in </w:t>
      </w:r>
      <w:hyperlink r:id="rId114" w:history="1">
        <w:r w:rsidRPr="00A65496">
          <w:rPr>
            <w:rFonts w:ascii="Californian FB" w:hAnsi="Californian FB" w:cs="Times New Roman"/>
            <w:i/>
            <w:iCs/>
            <w:color w:val="000000"/>
            <w:sz w:val="24"/>
            <w:szCs w:val="24"/>
          </w:rPr>
          <w:t>Campbell</w:t>
        </w:r>
      </w:hyperlink>
      <w:r w:rsidRPr="00A65496">
        <w:rPr>
          <w:rFonts w:ascii="Californian FB" w:hAnsi="Californian FB" w:cs="Times New Roman"/>
          <w:color w:val="000000"/>
          <w:sz w:val="24"/>
          <w:szCs w:val="24"/>
        </w:rPr>
        <w:t>, our assessment of this first factor has focused chiefly on the degree to which the use is “transformative,”</w:t>
      </w:r>
      <w:r>
        <w:rPr>
          <w:rFonts w:ascii="Californian FB" w:hAnsi="Californian FB" w:cs="Times New Roman"/>
          <w:color w:val="000000"/>
          <w:sz w:val="24"/>
          <w:szCs w:val="24"/>
        </w:rPr>
        <w:t xml:space="preserve"> * * * </w:t>
      </w:r>
      <w:r w:rsidRPr="00A65496">
        <w:rPr>
          <w:rFonts w:ascii="Californian FB" w:hAnsi="Californian FB" w:cs="Times New Roman"/>
          <w:color w:val="000000"/>
          <w:sz w:val="24"/>
          <w:szCs w:val="24"/>
        </w:rPr>
        <w:t xml:space="preserve">  We evaluate whether a work is transformative by examining how it may “reasonably be perceived.” </w:t>
      </w:r>
      <w:hyperlink r:id="rId115" w:anchor="co_pp_sp_506_707"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i/>
            <w:iCs/>
            <w:color w:val="000000"/>
            <w:sz w:val="24"/>
            <w:szCs w:val="24"/>
          </w:rPr>
          <w:t xml:space="preserve"> [v. Prince]</w:t>
        </w:r>
        <w:r w:rsidRPr="00A65496">
          <w:rPr>
            <w:rFonts w:ascii="Californian FB" w:hAnsi="Californian FB" w:cs="Times New Roman"/>
            <w:color w:val="000000"/>
            <w:sz w:val="24"/>
            <w:szCs w:val="24"/>
          </w:rPr>
          <w:t>, 714 F.3d at 707</w:t>
        </w:r>
      </w:hyperlink>
      <w:r w:rsidRPr="00A65496">
        <w:rPr>
          <w:rFonts w:ascii="Californian FB" w:hAnsi="Californian FB" w:cs="Times New Roman"/>
          <w:color w:val="000000"/>
          <w:sz w:val="24"/>
          <w:szCs w:val="24"/>
        </w:rPr>
        <w:t xml:space="preserve">, quoting </w:t>
      </w:r>
      <w:hyperlink r:id="rId116" w:anchor="co_pp_sp_780_582" w:history="1">
        <w:r w:rsidRPr="00A65496">
          <w:rPr>
            <w:rFonts w:ascii="Californian FB" w:hAnsi="Californian FB" w:cs="Times New Roman"/>
            <w:i/>
            <w:iCs/>
            <w:color w:val="000000"/>
            <w:sz w:val="24"/>
            <w:szCs w:val="24"/>
          </w:rPr>
          <w:t>Campbell</w:t>
        </w:r>
        <w:r w:rsidRPr="00A65496">
          <w:rPr>
            <w:rFonts w:ascii="Californian FB" w:hAnsi="Californian FB" w:cs="Times New Roman"/>
            <w:color w:val="000000"/>
            <w:sz w:val="24"/>
            <w:szCs w:val="24"/>
          </w:rPr>
          <w:t xml:space="preserve">, 510 U.S. at 582, 114 </w:t>
        </w:r>
        <w:proofErr w:type="spellStart"/>
        <w:r w:rsidRPr="00A65496">
          <w:rPr>
            <w:rFonts w:ascii="Californian FB" w:hAnsi="Californian FB" w:cs="Times New Roman"/>
            <w:color w:val="000000"/>
            <w:sz w:val="24"/>
            <w:szCs w:val="24"/>
          </w:rPr>
          <w:t>S.Ct</w:t>
        </w:r>
        <w:proofErr w:type="spellEnd"/>
        <w:r w:rsidRPr="00A65496">
          <w:rPr>
            <w:rFonts w:ascii="Californian FB" w:hAnsi="Californian FB" w:cs="Times New Roman"/>
            <w:color w:val="000000"/>
            <w:sz w:val="24"/>
            <w:szCs w:val="24"/>
          </w:rPr>
          <w:t>. 1164</w:t>
        </w:r>
      </w:hyperlink>
      <w:r w:rsidRPr="00A65496">
        <w:rPr>
          <w:rFonts w:ascii="Californian FB" w:hAnsi="Californian FB" w:cs="Times New Roman"/>
          <w:color w:val="000000"/>
          <w:sz w:val="24"/>
          <w:szCs w:val="24"/>
        </w:rPr>
        <w:t xml:space="preserve"> . . . . Paradigmatic examples of transformative uses are those Congress itself enumerated in the preamble to </w:t>
      </w:r>
      <w:hyperlink r:id="rId117" w:history="1">
        <w:r w:rsidRPr="00A65496">
          <w:rPr>
            <w:rFonts w:ascii="Californian FB" w:hAnsi="Californian FB" w:cs="Times New Roman"/>
            <w:color w:val="000000"/>
            <w:sz w:val="24"/>
            <w:szCs w:val="24"/>
          </w:rPr>
          <w:t>§ 107</w:t>
        </w:r>
      </w:hyperlink>
      <w:r w:rsidRPr="00A65496">
        <w:rPr>
          <w:rFonts w:ascii="Californian FB" w:hAnsi="Californian FB" w:cs="Times New Roman"/>
          <w:color w:val="000000"/>
          <w:sz w:val="24"/>
          <w:szCs w:val="24"/>
        </w:rPr>
        <w:t xml:space="preserve">: “criticism, comment, news reporting, teaching ..., scholarship, or research.” </w:t>
      </w:r>
      <w:hyperlink r:id="rId118" w:history="1">
        <w:r w:rsidRPr="00A65496">
          <w:rPr>
            <w:rFonts w:ascii="Californian FB" w:hAnsi="Californian FB" w:cs="Times New Roman"/>
            <w:color w:val="000000"/>
            <w:sz w:val="24"/>
            <w:szCs w:val="24"/>
          </w:rPr>
          <w:t>17 U.S.C. § 107</w:t>
        </w:r>
      </w:hyperlink>
      <w:proofErr w:type="gramStart"/>
      <w:r>
        <w:rPr>
          <w:rFonts w:ascii="Californian FB" w:hAnsi="Californian FB" w:cs="Times New Roman"/>
          <w:color w:val="000000"/>
          <w:sz w:val="24"/>
          <w:szCs w:val="24"/>
        </w:rPr>
        <w:t>. . . .</w:t>
      </w:r>
      <w:proofErr w:type="gramEnd"/>
    </w:p>
    <w:p w14:paraId="2AA1D51D"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Although the most straightforward cases of fair use thus involve a secondary work that comments on the original in some fashion, in </w:t>
      </w:r>
      <w:hyperlink r:id="rId119"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i/>
            <w:iCs/>
            <w:color w:val="000000"/>
            <w:sz w:val="24"/>
            <w:szCs w:val="24"/>
          </w:rPr>
          <w:t xml:space="preserve"> v. Prince</w:t>
        </w:r>
      </w:hyperlink>
      <w:r w:rsidRPr="00A65496">
        <w:rPr>
          <w:rFonts w:ascii="Californian FB" w:hAnsi="Californian FB" w:cs="Times New Roman"/>
          <w:color w:val="000000"/>
          <w:sz w:val="24"/>
          <w:szCs w:val="24"/>
        </w:rPr>
        <w:t xml:space="preserve">, we rejected the proposition that a secondary work </w:t>
      </w:r>
      <w:r w:rsidRPr="00A65496">
        <w:rPr>
          <w:rFonts w:ascii="Californian FB" w:hAnsi="Californian FB" w:cs="Times New Roman"/>
          <w:i/>
          <w:iCs/>
          <w:color w:val="000000"/>
          <w:sz w:val="24"/>
          <w:szCs w:val="24"/>
        </w:rPr>
        <w:t>must</w:t>
      </w:r>
      <w:r w:rsidRPr="00A65496">
        <w:rPr>
          <w:rFonts w:ascii="Californian FB" w:hAnsi="Californian FB" w:cs="Times New Roman"/>
          <w:color w:val="000000"/>
          <w:sz w:val="24"/>
          <w:szCs w:val="24"/>
        </w:rPr>
        <w:t xml:space="preserve"> comment on the original in order to qualify as fair use. </w:t>
      </w:r>
      <w:r w:rsidRPr="00A65496">
        <w:rPr>
          <w:rFonts w:ascii="Californian FB" w:hAnsi="Californian FB" w:cs="Times New Roman"/>
          <w:i/>
          <w:iCs/>
          <w:color w:val="000000"/>
          <w:sz w:val="24"/>
          <w:szCs w:val="24"/>
        </w:rPr>
        <w:t>See</w:t>
      </w:r>
      <w:r w:rsidRPr="00A65496">
        <w:rPr>
          <w:rFonts w:ascii="Californian FB" w:hAnsi="Californian FB" w:cs="Times New Roman"/>
          <w:color w:val="000000"/>
          <w:sz w:val="24"/>
          <w:szCs w:val="24"/>
        </w:rPr>
        <w:t xml:space="preserve"> </w:t>
      </w:r>
      <w:hyperlink r:id="rId120" w:anchor="co_pp_sp_506_706" w:history="1">
        <w:r w:rsidRPr="00A65496">
          <w:rPr>
            <w:rFonts w:ascii="Californian FB" w:hAnsi="Californian FB" w:cs="Times New Roman"/>
            <w:color w:val="000000"/>
            <w:sz w:val="24"/>
            <w:szCs w:val="24"/>
          </w:rPr>
          <w:t>714 F.3d at 706</w:t>
        </w:r>
      </w:hyperlink>
      <w:r w:rsidRPr="00A65496">
        <w:rPr>
          <w:rFonts w:ascii="Californian FB" w:hAnsi="Californian FB" w:cs="Times New Roman"/>
          <w:color w:val="000000"/>
          <w:sz w:val="24"/>
          <w:szCs w:val="24"/>
        </w:rPr>
        <w:t>.</w:t>
      </w:r>
      <w:r>
        <w:rPr>
          <w:rFonts w:ascii="Californian FB" w:hAnsi="Californian FB" w:cs="Times New Roman"/>
          <w:color w:val="000000"/>
          <w:sz w:val="24"/>
          <w:szCs w:val="24"/>
        </w:rPr>
        <w:t xml:space="preserve"> * * * </w:t>
      </w:r>
      <w:r w:rsidRPr="00A65496">
        <w:rPr>
          <w:rFonts w:ascii="Californian FB" w:hAnsi="Californian FB" w:cs="Times New Roman"/>
          <w:color w:val="000000"/>
          <w:sz w:val="24"/>
          <w:szCs w:val="24"/>
        </w:rPr>
        <w:t xml:space="preserve"> </w:t>
      </w:r>
      <w:r>
        <w:rPr>
          <w:rFonts w:ascii="Californian FB" w:hAnsi="Californian FB" w:cs="Times New Roman"/>
          <w:color w:val="000000"/>
          <w:sz w:val="24"/>
          <w:szCs w:val="24"/>
        </w:rPr>
        <w:t>. . .</w:t>
      </w:r>
    </w:p>
    <w:p w14:paraId="1D7974A8"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w:t>
      </w:r>
      <w:bookmarkStart w:id="79" w:name="co_anchor_B92054368247_1"/>
      <w:bookmarkEnd w:id="79"/>
      <w:r w:rsidRPr="00A65496">
        <w:rPr>
          <w:rFonts w:ascii="Californian FB" w:hAnsi="Californian FB" w:cs="Times New Roman"/>
          <w:color w:val="000000"/>
          <w:sz w:val="24"/>
          <w:szCs w:val="24"/>
        </w:rPr>
        <w:t xml:space="preserve">As discussed </w:t>
      </w:r>
      <w:r w:rsidRPr="00A65496">
        <w:rPr>
          <w:rFonts w:ascii="Californian FB" w:hAnsi="Californian FB" w:cs="Times New Roman"/>
          <w:i/>
          <w:iCs/>
          <w:color w:val="000000"/>
          <w:sz w:val="24"/>
          <w:szCs w:val="24"/>
        </w:rPr>
        <w:t>supra</w:t>
      </w:r>
      <w:r w:rsidRPr="00A65496">
        <w:rPr>
          <w:rFonts w:ascii="Californian FB" w:hAnsi="Californian FB" w:cs="Times New Roman"/>
          <w:color w:val="000000"/>
          <w:sz w:val="24"/>
          <w:szCs w:val="24"/>
        </w:rPr>
        <w:t xml:space="preserve">, both the Supreme Court and this Court have emphasized that fair use is a </w:t>
      </w:r>
      <w:r w:rsidRPr="00A65496">
        <w:rPr>
          <w:rFonts w:ascii="Californian FB" w:hAnsi="Californian FB" w:cs="Times New Roman"/>
          <w:color w:val="000000"/>
          <w:sz w:val="24"/>
          <w:szCs w:val="24"/>
        </w:rPr>
        <w:lastRenderedPageBreak/>
        <w:t xml:space="preserve">context-sensitive inquiry that does not lend itself to simple bright-line rules. </w:t>
      </w:r>
      <w:r w:rsidRPr="00A65496">
        <w:rPr>
          <w:rFonts w:ascii="Californian FB" w:hAnsi="Californian FB" w:cs="Times New Roman"/>
          <w:i/>
          <w:iCs/>
          <w:color w:val="000000"/>
          <w:sz w:val="24"/>
          <w:szCs w:val="24"/>
        </w:rPr>
        <w:t>See, e.g.</w:t>
      </w:r>
      <w:r w:rsidRPr="00A65496">
        <w:rPr>
          <w:rFonts w:ascii="Californian FB" w:hAnsi="Californian FB" w:cs="Times New Roman"/>
          <w:color w:val="000000"/>
          <w:sz w:val="24"/>
          <w:szCs w:val="24"/>
        </w:rPr>
        <w:t xml:space="preserve">, </w:t>
      </w:r>
      <w:hyperlink r:id="rId121" w:anchor="co_pp_sp_708_1196" w:history="1">
        <w:r w:rsidRPr="00A65496">
          <w:rPr>
            <w:rFonts w:ascii="Californian FB" w:hAnsi="Californian FB" w:cs="Times New Roman"/>
            <w:i/>
            <w:iCs/>
            <w:color w:val="000000"/>
            <w:sz w:val="24"/>
            <w:szCs w:val="24"/>
          </w:rPr>
          <w:t>Google</w:t>
        </w:r>
        <w:r w:rsidRPr="00A65496">
          <w:rPr>
            <w:rFonts w:ascii="Californian FB" w:hAnsi="Californian FB" w:cs="Times New Roman"/>
            <w:color w:val="000000"/>
            <w:sz w:val="24"/>
            <w:szCs w:val="24"/>
          </w:rPr>
          <w:t>, 141 S. Ct. at 1196-97</w:t>
        </w:r>
      </w:hyperlink>
      <w:r w:rsidRPr="00A65496">
        <w:rPr>
          <w:rFonts w:ascii="Californian FB" w:hAnsi="Californian FB" w:cs="Times New Roman"/>
          <w:color w:val="000000"/>
          <w:sz w:val="24"/>
          <w:szCs w:val="24"/>
        </w:rPr>
        <w:t xml:space="preserve">; </w:t>
      </w:r>
      <w:hyperlink r:id="rId122" w:anchor="co_pp_sp_780_577" w:history="1">
        <w:r w:rsidRPr="00A65496">
          <w:rPr>
            <w:rFonts w:ascii="Californian FB" w:hAnsi="Californian FB" w:cs="Times New Roman"/>
            <w:i/>
            <w:iCs/>
            <w:color w:val="000000"/>
            <w:sz w:val="24"/>
            <w:szCs w:val="24"/>
          </w:rPr>
          <w:t>Campbell</w:t>
        </w:r>
        <w:r w:rsidRPr="00A65496">
          <w:rPr>
            <w:rFonts w:ascii="Californian FB" w:hAnsi="Californian FB" w:cs="Times New Roman"/>
            <w:color w:val="000000"/>
            <w:sz w:val="24"/>
            <w:szCs w:val="24"/>
          </w:rPr>
          <w:t xml:space="preserve">, 510 U.S. at 577-78, 114 </w:t>
        </w:r>
        <w:proofErr w:type="spellStart"/>
        <w:r w:rsidRPr="00A65496">
          <w:rPr>
            <w:rFonts w:ascii="Californian FB" w:hAnsi="Californian FB" w:cs="Times New Roman"/>
            <w:color w:val="000000"/>
            <w:sz w:val="24"/>
            <w:szCs w:val="24"/>
          </w:rPr>
          <w:t>S.Ct</w:t>
        </w:r>
        <w:proofErr w:type="spellEnd"/>
        <w:r w:rsidRPr="00A65496">
          <w:rPr>
            <w:rFonts w:ascii="Californian FB" w:hAnsi="Californian FB" w:cs="Times New Roman"/>
            <w:color w:val="000000"/>
            <w:sz w:val="24"/>
            <w:szCs w:val="24"/>
          </w:rPr>
          <w:t>. 1164</w:t>
        </w:r>
      </w:hyperlink>
      <w:r w:rsidRPr="00A65496">
        <w:rPr>
          <w:rFonts w:ascii="Californian FB" w:hAnsi="Californian FB" w:cs="Times New Roman"/>
          <w:color w:val="000000"/>
          <w:sz w:val="24"/>
          <w:szCs w:val="24"/>
        </w:rPr>
        <w:t xml:space="preserve">; </w:t>
      </w:r>
      <w:hyperlink r:id="rId123" w:anchor="co_pp_sp_506_705"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color w:val="000000"/>
            <w:sz w:val="24"/>
            <w:szCs w:val="24"/>
          </w:rPr>
          <w:t>, 714 F.3d at 705</w:t>
        </w:r>
      </w:hyperlink>
      <w:r w:rsidRPr="00A65496">
        <w:rPr>
          <w:rFonts w:ascii="Californian FB" w:hAnsi="Californian FB" w:cs="Times New Roman"/>
          <w:color w:val="000000"/>
          <w:sz w:val="24"/>
          <w:szCs w:val="24"/>
        </w:rPr>
        <w:t xml:space="preserve">. Notwithstanding, the district court appears to have read </w:t>
      </w:r>
      <w:hyperlink r:id="rId124"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xml:space="preserve"> as having announced such a rule, to wit, that any secondary work is </w:t>
      </w:r>
      <w:r w:rsidRPr="00A65496">
        <w:rPr>
          <w:rFonts w:ascii="Californian FB" w:hAnsi="Californian FB" w:cs="Times New Roman"/>
          <w:i/>
          <w:iCs/>
          <w:color w:val="000000"/>
          <w:sz w:val="24"/>
          <w:szCs w:val="24"/>
        </w:rPr>
        <w:t>necessarily</w:t>
      </w:r>
      <w:r w:rsidRPr="00A65496">
        <w:rPr>
          <w:rFonts w:ascii="Californian FB" w:hAnsi="Californian FB" w:cs="Times New Roman"/>
          <w:color w:val="000000"/>
          <w:sz w:val="24"/>
          <w:szCs w:val="24"/>
        </w:rPr>
        <w:t xml:space="preserve"> transformative as a matter of law “[</w:t>
      </w:r>
      <w:proofErr w:type="spellStart"/>
      <w:r w:rsidRPr="00A65496">
        <w:rPr>
          <w:rFonts w:ascii="Californian FB" w:hAnsi="Californian FB" w:cs="Times New Roman"/>
          <w:color w:val="000000"/>
          <w:sz w:val="24"/>
          <w:szCs w:val="24"/>
        </w:rPr>
        <w:t>i</w:t>
      </w:r>
      <w:proofErr w:type="spellEnd"/>
      <w:r w:rsidRPr="00A65496">
        <w:rPr>
          <w:rFonts w:ascii="Californian FB" w:hAnsi="Californian FB" w:cs="Times New Roman"/>
          <w:color w:val="000000"/>
          <w:sz w:val="24"/>
          <w:szCs w:val="24"/>
        </w:rPr>
        <w:t xml:space="preserve">]f looking at the works side-by-side, the secondary work has a different character, a new expression, and employs new aesthetics with [distinct] creative and communicative results.” </w:t>
      </w:r>
      <w:hyperlink r:id="rId125" w:anchor="co_pp_sp_7903_325" w:history="1">
        <w:r w:rsidRPr="00A65496">
          <w:rPr>
            <w:rFonts w:ascii="Californian FB" w:hAnsi="Californian FB" w:cs="Times New Roman"/>
            <w:i/>
            <w:iCs/>
            <w:color w:val="000000"/>
            <w:sz w:val="24"/>
            <w:szCs w:val="24"/>
          </w:rPr>
          <w:t>Warhol</w:t>
        </w:r>
        <w:r w:rsidRPr="00A65496">
          <w:rPr>
            <w:rFonts w:ascii="Californian FB" w:hAnsi="Californian FB" w:cs="Times New Roman"/>
            <w:color w:val="000000"/>
            <w:sz w:val="24"/>
            <w:szCs w:val="24"/>
          </w:rPr>
          <w:t>, 382 F. Supp. 3d at 325-26</w:t>
        </w:r>
      </w:hyperlink>
      <w:r w:rsidRPr="00A65496">
        <w:rPr>
          <w:rFonts w:ascii="Californian FB" w:hAnsi="Californian FB" w:cs="Times New Roman"/>
          <w:color w:val="000000"/>
          <w:sz w:val="24"/>
          <w:szCs w:val="24"/>
        </w:rPr>
        <w:t xml:space="preserve"> (internal quotation marks omitted) (alterations adopted). Although a literal construction of certain passages of </w:t>
      </w:r>
      <w:hyperlink r:id="rId126"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xml:space="preserve"> may support that proposition, such a reading stretches the decision too far.</w:t>
      </w:r>
      <w:r>
        <w:rPr>
          <w:rFonts w:ascii="Californian FB" w:hAnsi="Californian FB" w:cs="Times New Roman"/>
          <w:color w:val="000000"/>
          <w:sz w:val="24"/>
          <w:szCs w:val="24"/>
        </w:rPr>
        <w:t xml:space="preserve"> . . .</w:t>
      </w:r>
      <w:r w:rsidRPr="00DB08B6">
        <w:rPr>
          <w:rFonts w:ascii="Californian FB" w:hAnsi="Californian FB" w:cs="Times New Roman"/>
          <w:noProof/>
          <w:color w:val="000000"/>
          <w:sz w:val="24"/>
          <w:szCs w:val="24"/>
        </w:rPr>
        <w:t xml:space="preserve"> </w:t>
      </w:r>
    </w:p>
    <w:p w14:paraId="577D1092"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Pr>
          <w:rFonts w:ascii="Californian FB" w:hAnsi="Californian FB"/>
          <w:noProof/>
          <w:szCs w:val="24"/>
        </w:rPr>
        <mc:AlternateContent>
          <mc:Choice Requires="wps">
            <w:drawing>
              <wp:anchor distT="0" distB="0" distL="114300" distR="114300" simplePos="0" relativeHeight="251750400" behindDoc="1" locked="0" layoutInCell="1" allowOverlap="1" wp14:anchorId="343BEC0B" wp14:editId="1E6CD714">
                <wp:simplePos x="0" y="0"/>
                <wp:positionH relativeFrom="margin">
                  <wp:posOffset>3209925</wp:posOffset>
                </wp:positionH>
                <wp:positionV relativeFrom="page">
                  <wp:posOffset>2742565</wp:posOffset>
                </wp:positionV>
                <wp:extent cx="2606675" cy="3519170"/>
                <wp:effectExtent l="0" t="0" r="22225" b="24130"/>
                <wp:wrapTight wrapText="bothSides">
                  <wp:wrapPolygon edited="0">
                    <wp:start x="0" y="0"/>
                    <wp:lineTo x="0" y="21631"/>
                    <wp:lineTo x="21626" y="21631"/>
                    <wp:lineTo x="21626"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2606675" cy="3519170"/>
                        </a:xfrm>
                        <a:prstGeom prst="rect">
                          <a:avLst/>
                        </a:prstGeom>
                        <a:solidFill>
                          <a:schemeClr val="accent1">
                            <a:lumMod val="40000"/>
                            <a:lumOff val="60000"/>
                          </a:schemeClr>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43E6C2" w14:textId="77777777" w:rsidR="00ED71C4" w:rsidRPr="00797FED" w:rsidRDefault="00ED71C4" w:rsidP="00ED71C4">
                            <w:pPr>
                              <w:jc w:val="center"/>
                              <w:rPr>
                                <w:rFonts w:ascii="Californian FB" w:hAnsi="Californian FB"/>
                              </w:rPr>
                            </w:pPr>
                            <w:r>
                              <w:rPr>
                                <w:rFonts w:ascii="Californian FB" w:hAnsi="Californian FB"/>
                                <w:b/>
                              </w:rPr>
                              <w:t>SEE IT</w:t>
                            </w:r>
                          </w:p>
                          <w:p w14:paraId="54F8979D" w14:textId="77777777" w:rsidR="00ED71C4" w:rsidRDefault="00ED71C4" w:rsidP="00ED71C4">
                            <w:pPr>
                              <w:jc w:val="both"/>
                              <w:rPr>
                                <w:rFonts w:ascii="Californian FB" w:hAnsi="Californian FB"/>
                              </w:rPr>
                            </w:pPr>
                            <w:r>
                              <w:rPr>
                                <w:rFonts w:ascii="Californian FB" w:hAnsi="Californian FB"/>
                              </w:rPr>
                              <w:t xml:space="preserve">We mentioned </w:t>
                            </w:r>
                            <w:proofErr w:type="spellStart"/>
                            <w:r>
                              <w:rPr>
                                <w:rFonts w:ascii="Californian FB" w:hAnsi="Californian FB"/>
                                <w:i/>
                                <w:iCs/>
                              </w:rPr>
                              <w:t>Cariou</w:t>
                            </w:r>
                            <w:proofErr w:type="spellEnd"/>
                            <w:r>
                              <w:rPr>
                                <w:rFonts w:ascii="Californian FB" w:hAnsi="Californian FB"/>
                                <w:i/>
                                <w:iCs/>
                              </w:rPr>
                              <w:t xml:space="preserve"> v. Prince </w:t>
                            </w:r>
                            <w:r>
                              <w:rPr>
                                <w:rFonts w:ascii="Californian FB" w:hAnsi="Californian FB"/>
                              </w:rPr>
                              <w:t xml:space="preserve">in note 6 on page 393 of the main volume. The “Prince” who was the defendant in this case is an artist named Richard Prince, who is no relation to the late musician Prince Rogers Nelson, whose portrait is at issue in the instant case of </w:t>
                            </w:r>
                            <w:r>
                              <w:rPr>
                                <w:rFonts w:ascii="Californian FB" w:hAnsi="Californian FB"/>
                                <w:i/>
                                <w:iCs/>
                              </w:rPr>
                              <w:t xml:space="preserve">Andy Warhol </w:t>
                            </w:r>
                            <w:proofErr w:type="gramStart"/>
                            <w:r>
                              <w:rPr>
                                <w:rFonts w:ascii="Californian FB" w:hAnsi="Californian FB"/>
                                <w:i/>
                                <w:iCs/>
                              </w:rPr>
                              <w:t>Foundation .</w:t>
                            </w:r>
                            <w:proofErr w:type="gramEnd"/>
                            <w:r>
                              <w:rPr>
                                <w:rFonts w:ascii="Californian FB" w:hAnsi="Californian FB"/>
                                <w:i/>
                                <w:iCs/>
                              </w:rPr>
                              <w:t xml:space="preserve">v. Goldsmith.  </w:t>
                            </w:r>
                          </w:p>
                          <w:p w14:paraId="5FDD34AE" w14:textId="77777777" w:rsidR="00ED71C4" w:rsidRPr="00AD1D2B" w:rsidRDefault="00ED71C4" w:rsidP="00ED71C4">
                            <w:pPr>
                              <w:jc w:val="both"/>
                              <w:rPr>
                                <w:rFonts w:ascii="Californian FB" w:hAnsi="Californian FB"/>
                              </w:rPr>
                            </w:pPr>
                            <w:r w:rsidRPr="00B136D8">
                              <w:rPr>
                                <w:rFonts w:ascii="Californian FB" w:hAnsi="Californian FB"/>
                              </w:rPr>
                              <w:t>Click here</w:t>
                            </w:r>
                            <w:r>
                              <w:rPr>
                                <w:rFonts w:ascii="Californian FB" w:hAnsi="Californian FB"/>
                              </w:rPr>
                              <w:t xml:space="preserve"> to see </w:t>
                            </w:r>
                            <w:r>
                              <w:rPr>
                                <w:rFonts w:ascii="Californian FB" w:hAnsi="Californian FB"/>
                                <w:i/>
                                <w:iCs/>
                              </w:rPr>
                              <w:t>Canal Zone (2007)</w:t>
                            </w:r>
                            <w:r>
                              <w:rPr>
                                <w:rFonts w:ascii="Californian FB" w:hAnsi="Californian FB"/>
                              </w:rPr>
                              <w:t xml:space="preserve"> and </w:t>
                            </w:r>
                            <w:r>
                              <w:rPr>
                                <w:rFonts w:ascii="Californian FB" w:hAnsi="Californian FB"/>
                                <w:i/>
                                <w:iCs/>
                              </w:rPr>
                              <w:t xml:space="preserve">Graduation, </w:t>
                            </w:r>
                            <w:r>
                              <w:rPr>
                                <w:rFonts w:ascii="Californian FB" w:hAnsi="Californian FB"/>
                              </w:rPr>
                              <w:t xml:space="preserve">as well as the work that </w:t>
                            </w:r>
                            <w:proofErr w:type="gramStart"/>
                            <w:r>
                              <w:rPr>
                                <w:rFonts w:ascii="Californian FB" w:hAnsi="Californian FB"/>
                                <w:i/>
                                <w:iCs/>
                              </w:rPr>
                              <w:t xml:space="preserve">Graduation </w:t>
                            </w:r>
                            <w:r>
                              <w:rPr>
                                <w:rFonts w:ascii="Californian FB" w:hAnsi="Californian FB"/>
                              </w:rPr>
                              <w:t xml:space="preserve"> was</w:t>
                            </w:r>
                            <w:proofErr w:type="gramEnd"/>
                            <w:r>
                              <w:rPr>
                                <w:rFonts w:ascii="Californian FB" w:hAnsi="Californian FB"/>
                              </w:rPr>
                              <w:t xml:space="preserve"> copying, and another example of a </w:t>
                            </w:r>
                            <w:proofErr w:type="spellStart"/>
                            <w:r>
                              <w:rPr>
                                <w:rFonts w:ascii="Californian FB" w:hAnsi="Californian FB"/>
                              </w:rPr>
                              <w:t>Cariou</w:t>
                            </w:r>
                            <w:proofErr w:type="spellEnd"/>
                            <w:r>
                              <w:rPr>
                                <w:rFonts w:ascii="Californian FB" w:hAnsi="Californian FB"/>
                              </w:rPr>
                              <w:t xml:space="preserve"> source work and a Prince use.  What do you think? </w:t>
                            </w:r>
                            <w:r w:rsidRPr="00797FED">
                              <w:rPr>
                                <w:rFonts w:ascii="Californian FB" w:hAnsi="Californian FB"/>
                              </w:rPr>
                              <w:t xml:space="preserve">Can you see why the court drew the distinction it did?  Does it fit the principles and the rules that the </w:t>
                            </w:r>
                            <w:r>
                              <w:rPr>
                                <w:rFonts w:ascii="Californian FB" w:hAnsi="Californian FB"/>
                              </w:rPr>
                              <w:t>Second Circuit</w:t>
                            </w:r>
                            <w:r w:rsidRPr="00797FED">
                              <w:rPr>
                                <w:rFonts w:ascii="Californian FB" w:hAnsi="Californian FB"/>
                              </w:rPr>
                              <w:t xml:space="preserve"> is articulating in</w:t>
                            </w:r>
                            <w:r>
                              <w:rPr>
                                <w:rFonts w:ascii="Californian FB" w:hAnsi="Californian FB"/>
                              </w:rPr>
                              <w:t xml:space="preserve"> its opinion </w:t>
                            </w:r>
                            <w:proofErr w:type="gramStart"/>
                            <w:r>
                              <w:rPr>
                                <w:rFonts w:ascii="Californian FB" w:hAnsi="Californian FB"/>
                              </w:rPr>
                              <w:t xml:space="preserve">in </w:t>
                            </w:r>
                            <w:r w:rsidRPr="00797FED">
                              <w:rPr>
                                <w:rFonts w:ascii="Californian FB" w:hAnsi="Californian FB"/>
                              </w:rPr>
                              <w:t xml:space="preserve"> </w:t>
                            </w:r>
                            <w:r w:rsidRPr="00E51C1E">
                              <w:rPr>
                                <w:rFonts w:ascii="Californian FB" w:hAnsi="Californian FB"/>
                                <w:i/>
                                <w:iCs/>
                              </w:rPr>
                              <w:t>Goldsmith</w:t>
                            </w:r>
                            <w:proofErr w:type="gramEnd"/>
                            <w:r w:rsidRPr="00797FED">
                              <w:rPr>
                                <w:rFonts w:ascii="Californian FB" w:hAnsi="Californian F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EC0B" id="Text Box 49" o:spid="_x0000_s1035" type="#_x0000_t202" style="position:absolute;left:0;text-align:left;margin-left:252.75pt;margin-top:215.95pt;width:205.25pt;height:277.1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" fillcolor="#bdd6ee [1300]" strokecolor="#bdd6ee [1300]" strokeweight=".5pt">
                <v:textbox>
                  <w:txbxContent>
                    <w:p w14:paraId="7143E6C2" w14:textId="77777777" w:rsidR="00ED71C4" w:rsidRPr="00797FED" w:rsidRDefault="00ED71C4" w:rsidP="00ED71C4">
                      <w:pPr>
                        <w:jc w:val="center"/>
                        <w:rPr>
                          <w:rFonts w:ascii="Californian FB" w:hAnsi="Californian FB"/>
                        </w:rPr>
                      </w:pPr>
                      <w:r>
                        <w:rPr>
                          <w:rFonts w:ascii="Californian FB" w:hAnsi="Californian FB"/>
                          <w:b/>
                        </w:rPr>
                        <w:t>SEE IT</w:t>
                      </w:r>
                    </w:p>
                    <w:p w14:paraId="54F8979D" w14:textId="77777777" w:rsidR="00ED71C4" w:rsidRDefault="00ED71C4" w:rsidP="00ED71C4">
                      <w:pPr>
                        <w:jc w:val="both"/>
                        <w:rPr>
                          <w:rFonts w:ascii="Californian FB" w:hAnsi="Californian FB"/>
                        </w:rPr>
                      </w:pPr>
                      <w:r>
                        <w:rPr>
                          <w:rFonts w:ascii="Californian FB" w:hAnsi="Californian FB"/>
                        </w:rPr>
                        <w:t xml:space="preserve">We mentioned </w:t>
                      </w:r>
                      <w:proofErr w:type="spellStart"/>
                      <w:r>
                        <w:rPr>
                          <w:rFonts w:ascii="Californian FB" w:hAnsi="Californian FB"/>
                          <w:i/>
                          <w:iCs/>
                        </w:rPr>
                        <w:t>Cariou</w:t>
                      </w:r>
                      <w:proofErr w:type="spellEnd"/>
                      <w:r>
                        <w:rPr>
                          <w:rFonts w:ascii="Californian FB" w:hAnsi="Californian FB"/>
                          <w:i/>
                          <w:iCs/>
                        </w:rPr>
                        <w:t xml:space="preserve"> v. Prince </w:t>
                      </w:r>
                      <w:r>
                        <w:rPr>
                          <w:rFonts w:ascii="Californian FB" w:hAnsi="Californian FB"/>
                        </w:rPr>
                        <w:t xml:space="preserve">in note 6 on page 393 of the main volume. The “Prince” who was the defendant in this case is an artist named Richard Prince, who is no relation to the late musician Prince Rogers Nelson, whose portrait is at issue in the instant case of </w:t>
                      </w:r>
                      <w:r>
                        <w:rPr>
                          <w:rFonts w:ascii="Californian FB" w:hAnsi="Californian FB"/>
                          <w:i/>
                          <w:iCs/>
                        </w:rPr>
                        <w:t xml:space="preserve">Andy Warhol </w:t>
                      </w:r>
                      <w:proofErr w:type="gramStart"/>
                      <w:r>
                        <w:rPr>
                          <w:rFonts w:ascii="Californian FB" w:hAnsi="Californian FB"/>
                          <w:i/>
                          <w:iCs/>
                        </w:rPr>
                        <w:t>Foundation .</w:t>
                      </w:r>
                      <w:proofErr w:type="gramEnd"/>
                      <w:r>
                        <w:rPr>
                          <w:rFonts w:ascii="Californian FB" w:hAnsi="Californian FB"/>
                          <w:i/>
                          <w:iCs/>
                        </w:rPr>
                        <w:t xml:space="preserve">v. Goldsmith.  </w:t>
                      </w:r>
                    </w:p>
                    <w:p w14:paraId="5FDD34AE" w14:textId="77777777" w:rsidR="00ED71C4" w:rsidRPr="00AD1D2B" w:rsidRDefault="00ED71C4" w:rsidP="00ED71C4">
                      <w:pPr>
                        <w:jc w:val="both"/>
                        <w:rPr>
                          <w:rFonts w:ascii="Californian FB" w:hAnsi="Californian FB"/>
                        </w:rPr>
                      </w:pPr>
                      <w:r w:rsidRPr="00B136D8">
                        <w:rPr>
                          <w:rFonts w:ascii="Californian FB" w:hAnsi="Californian FB"/>
                        </w:rPr>
                        <w:t>Click here</w:t>
                      </w:r>
                      <w:r>
                        <w:rPr>
                          <w:rFonts w:ascii="Californian FB" w:hAnsi="Californian FB"/>
                        </w:rPr>
                        <w:t xml:space="preserve"> to see </w:t>
                      </w:r>
                      <w:r>
                        <w:rPr>
                          <w:rFonts w:ascii="Californian FB" w:hAnsi="Californian FB"/>
                          <w:i/>
                          <w:iCs/>
                        </w:rPr>
                        <w:t>Canal Zone (2007)</w:t>
                      </w:r>
                      <w:r>
                        <w:rPr>
                          <w:rFonts w:ascii="Californian FB" w:hAnsi="Californian FB"/>
                        </w:rPr>
                        <w:t xml:space="preserve"> and </w:t>
                      </w:r>
                      <w:r>
                        <w:rPr>
                          <w:rFonts w:ascii="Californian FB" w:hAnsi="Californian FB"/>
                          <w:i/>
                          <w:iCs/>
                        </w:rPr>
                        <w:t xml:space="preserve">Graduation, </w:t>
                      </w:r>
                      <w:r>
                        <w:rPr>
                          <w:rFonts w:ascii="Californian FB" w:hAnsi="Californian FB"/>
                        </w:rPr>
                        <w:t xml:space="preserve">as well as the work that </w:t>
                      </w:r>
                      <w:proofErr w:type="gramStart"/>
                      <w:r>
                        <w:rPr>
                          <w:rFonts w:ascii="Californian FB" w:hAnsi="Californian FB"/>
                          <w:i/>
                          <w:iCs/>
                        </w:rPr>
                        <w:t xml:space="preserve">Graduation </w:t>
                      </w:r>
                      <w:r>
                        <w:rPr>
                          <w:rFonts w:ascii="Californian FB" w:hAnsi="Californian FB"/>
                        </w:rPr>
                        <w:t xml:space="preserve"> was</w:t>
                      </w:r>
                      <w:proofErr w:type="gramEnd"/>
                      <w:r>
                        <w:rPr>
                          <w:rFonts w:ascii="Californian FB" w:hAnsi="Californian FB"/>
                        </w:rPr>
                        <w:t xml:space="preserve"> copying, and another example of a </w:t>
                      </w:r>
                      <w:proofErr w:type="spellStart"/>
                      <w:r>
                        <w:rPr>
                          <w:rFonts w:ascii="Californian FB" w:hAnsi="Californian FB"/>
                        </w:rPr>
                        <w:t>Cariou</w:t>
                      </w:r>
                      <w:proofErr w:type="spellEnd"/>
                      <w:r>
                        <w:rPr>
                          <w:rFonts w:ascii="Californian FB" w:hAnsi="Californian FB"/>
                        </w:rPr>
                        <w:t xml:space="preserve"> source work and a Prince use.  What do you think? </w:t>
                      </w:r>
                      <w:r w:rsidRPr="00797FED">
                        <w:rPr>
                          <w:rFonts w:ascii="Californian FB" w:hAnsi="Californian FB"/>
                        </w:rPr>
                        <w:t xml:space="preserve">Can you see why the court drew the distinction it did?  Does it fit the principles and the rules that the </w:t>
                      </w:r>
                      <w:r>
                        <w:rPr>
                          <w:rFonts w:ascii="Californian FB" w:hAnsi="Californian FB"/>
                        </w:rPr>
                        <w:t>Second Circuit</w:t>
                      </w:r>
                      <w:r w:rsidRPr="00797FED">
                        <w:rPr>
                          <w:rFonts w:ascii="Californian FB" w:hAnsi="Californian FB"/>
                        </w:rPr>
                        <w:t xml:space="preserve"> is articulating in</w:t>
                      </w:r>
                      <w:r>
                        <w:rPr>
                          <w:rFonts w:ascii="Californian FB" w:hAnsi="Californian FB"/>
                        </w:rPr>
                        <w:t xml:space="preserve"> its opinion </w:t>
                      </w:r>
                      <w:proofErr w:type="gramStart"/>
                      <w:r>
                        <w:rPr>
                          <w:rFonts w:ascii="Californian FB" w:hAnsi="Californian FB"/>
                        </w:rPr>
                        <w:t xml:space="preserve">in </w:t>
                      </w:r>
                      <w:r w:rsidRPr="00797FED">
                        <w:rPr>
                          <w:rFonts w:ascii="Californian FB" w:hAnsi="Californian FB"/>
                        </w:rPr>
                        <w:t xml:space="preserve"> </w:t>
                      </w:r>
                      <w:r w:rsidRPr="00E51C1E">
                        <w:rPr>
                          <w:rFonts w:ascii="Californian FB" w:hAnsi="Californian FB"/>
                          <w:i/>
                          <w:iCs/>
                        </w:rPr>
                        <w:t>Goldsmith</w:t>
                      </w:r>
                      <w:proofErr w:type="gramEnd"/>
                      <w:r w:rsidRPr="00797FED">
                        <w:rPr>
                          <w:rFonts w:ascii="Californian FB" w:hAnsi="Californian FB"/>
                        </w:rPr>
                        <w:t>?</w:t>
                      </w:r>
                    </w:p>
                  </w:txbxContent>
                </v:textbox>
                <w10:wrap type="tight" anchorx="margin" anchory="page"/>
              </v:shape>
            </w:pict>
          </mc:Fallback>
        </mc:AlternateContent>
      </w:r>
      <w:r w:rsidRPr="00A65496">
        <w:rPr>
          <w:rFonts w:ascii="Californian FB" w:hAnsi="Californian FB" w:cs="Times New Roman"/>
          <w:color w:val="000000"/>
          <w:sz w:val="24"/>
          <w:szCs w:val="24"/>
        </w:rPr>
        <w:t xml:space="preserve"> Consider the five works at issue in </w:t>
      </w:r>
      <w:hyperlink r:id="rId127"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xml:space="preserve"> that we did </w:t>
      </w:r>
      <w:r w:rsidRPr="00A65496">
        <w:rPr>
          <w:rFonts w:ascii="Californian FB" w:hAnsi="Californian FB" w:cs="Times New Roman"/>
          <w:i/>
          <w:iCs/>
          <w:color w:val="000000"/>
          <w:sz w:val="24"/>
          <w:szCs w:val="24"/>
        </w:rPr>
        <w:t>not</w:t>
      </w:r>
      <w:r w:rsidRPr="00A65496">
        <w:rPr>
          <w:rFonts w:ascii="Californian FB" w:hAnsi="Californian FB" w:cs="Times New Roman"/>
          <w:color w:val="000000"/>
          <w:sz w:val="24"/>
          <w:szCs w:val="24"/>
        </w:rPr>
        <w:t xml:space="preserve"> conclude were transformative as a matter of law. Though varying in degree both amongst themselves and as compared to the works that we did adjudge transformative, each undoubtedly imbued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work with a “new aesthetic” as that phrase might be colloquially understood. Prince’s </w:t>
      </w:r>
      <w:r w:rsidRPr="00A65496">
        <w:rPr>
          <w:rFonts w:ascii="Californian FB" w:hAnsi="Californian FB" w:cs="Times New Roman"/>
          <w:i/>
          <w:iCs/>
          <w:color w:val="000000"/>
          <w:sz w:val="24"/>
          <w:szCs w:val="24"/>
        </w:rPr>
        <w:t>Canal Zone (2007)</w:t>
      </w:r>
      <w:r w:rsidRPr="00A65496">
        <w:rPr>
          <w:rFonts w:ascii="Californian FB" w:hAnsi="Californian FB" w:cs="Times New Roman"/>
          <w:color w:val="000000"/>
          <w:sz w:val="24"/>
          <w:szCs w:val="24"/>
        </w:rPr>
        <w:t xml:space="preserve"> is a collage of thirty-six of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photographs, most of which Prince altered by, for example, painting over the faces and bodies of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subjects, in some instances altering them significantly. </w:t>
      </w:r>
      <w:r w:rsidRPr="00A65496">
        <w:rPr>
          <w:rFonts w:ascii="Californian FB" w:hAnsi="Californian FB" w:cs="Times New Roman"/>
          <w:i/>
          <w:iCs/>
          <w:color w:val="000000"/>
          <w:sz w:val="24"/>
          <w:szCs w:val="24"/>
        </w:rPr>
        <w:t xml:space="preserve">See </w:t>
      </w:r>
      <w:hyperlink r:id="rId128" w:anchor="co_pp_sp_506_711"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color w:val="000000"/>
            <w:sz w:val="24"/>
            <w:szCs w:val="24"/>
          </w:rPr>
          <w:t>, 714 F.3d at 711</w:t>
        </w:r>
      </w:hyperlink>
      <w:r w:rsidRPr="00A65496">
        <w:rPr>
          <w:rFonts w:ascii="Californian FB" w:hAnsi="Californian FB" w:cs="Times New Roman"/>
          <w:color w:val="000000"/>
          <w:sz w:val="24"/>
          <w:szCs w:val="24"/>
        </w:rPr>
        <w:t xml:space="preserve">. In </w:t>
      </w:r>
      <w:r w:rsidRPr="00A65496">
        <w:rPr>
          <w:rFonts w:ascii="Californian FB" w:hAnsi="Californian FB" w:cs="Times New Roman"/>
          <w:i/>
          <w:iCs/>
          <w:color w:val="000000"/>
          <w:sz w:val="24"/>
          <w:szCs w:val="24"/>
        </w:rPr>
        <w:t>Graduation</w:t>
      </w:r>
      <w:r w:rsidRPr="00A65496">
        <w:rPr>
          <w:rFonts w:ascii="Californian FB" w:hAnsi="Californian FB" w:cs="Times New Roman"/>
          <w:color w:val="000000"/>
          <w:sz w:val="24"/>
          <w:szCs w:val="24"/>
        </w:rPr>
        <w:t xml:space="preserve">, Prince added blue “lozenges” over the eyes and mouth of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subject and pasted an image of hands playing a blue guitar over his hands. </w:t>
      </w:r>
      <w:hyperlink r:id="rId129" w:history="1">
        <w:r w:rsidRPr="00A65496">
          <w:rPr>
            <w:rFonts w:ascii="Californian FB" w:hAnsi="Californian FB" w:cs="Times New Roman"/>
            <w:i/>
            <w:iCs/>
            <w:color w:val="000000"/>
            <w:sz w:val="24"/>
            <w:szCs w:val="24"/>
          </w:rPr>
          <w:t>Id.</w:t>
        </w:r>
      </w:hyperlink>
      <w:r w:rsidRPr="00A65496">
        <w:rPr>
          <w:rFonts w:ascii="Californian FB" w:hAnsi="Californian FB" w:cs="Times New Roman"/>
          <w:color w:val="000000"/>
          <w:sz w:val="24"/>
          <w:szCs w:val="24"/>
        </w:rPr>
        <w:t xml:space="preserve"> Both of these works certainly imbued the originals from which they derive with a “new aesthetic;” notwithstanding, we could not “confidently ... make a determination about their transformative nature as a matter of law.” </w:t>
      </w:r>
      <w:hyperlink r:id="rId130" w:history="1">
        <w:r w:rsidRPr="00A65496">
          <w:rPr>
            <w:rFonts w:ascii="Californian FB" w:hAnsi="Californian FB" w:cs="Times New Roman"/>
            <w:i/>
            <w:iCs/>
            <w:color w:val="000000"/>
            <w:sz w:val="24"/>
            <w:szCs w:val="24"/>
          </w:rPr>
          <w:t>Id.</w:t>
        </w:r>
      </w:hyperlink>
    </w:p>
    <w:p w14:paraId="73F18C13"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Moreover, there exists an entire class of secondary works that add “new expression, meaning, or message” to their source material, </w:t>
      </w:r>
      <w:hyperlink r:id="rId131" w:anchor="co_pp_sp_780_579" w:history="1">
        <w:r w:rsidRPr="00A65496">
          <w:rPr>
            <w:rFonts w:ascii="Californian FB" w:hAnsi="Californian FB" w:cs="Times New Roman"/>
            <w:i/>
            <w:iCs/>
            <w:color w:val="000000"/>
            <w:sz w:val="24"/>
            <w:szCs w:val="24"/>
          </w:rPr>
          <w:t>Campbell</w:t>
        </w:r>
        <w:r w:rsidRPr="00A65496">
          <w:rPr>
            <w:rFonts w:ascii="Californian FB" w:hAnsi="Californian FB" w:cs="Times New Roman"/>
            <w:color w:val="000000"/>
            <w:sz w:val="24"/>
            <w:szCs w:val="24"/>
          </w:rPr>
          <w:t xml:space="preserve">, 510 U.S. at 579, 114 </w:t>
        </w:r>
        <w:proofErr w:type="spellStart"/>
        <w:r w:rsidRPr="00A65496">
          <w:rPr>
            <w:rFonts w:ascii="Californian FB" w:hAnsi="Californian FB" w:cs="Times New Roman"/>
            <w:color w:val="000000"/>
            <w:sz w:val="24"/>
            <w:szCs w:val="24"/>
          </w:rPr>
          <w:t>S.Ct</w:t>
        </w:r>
        <w:proofErr w:type="spellEnd"/>
        <w:r w:rsidRPr="00A65496">
          <w:rPr>
            <w:rFonts w:ascii="Californian FB" w:hAnsi="Californian FB" w:cs="Times New Roman"/>
            <w:color w:val="000000"/>
            <w:sz w:val="24"/>
            <w:szCs w:val="24"/>
          </w:rPr>
          <w:t>. 1164</w:t>
        </w:r>
      </w:hyperlink>
      <w:r w:rsidRPr="00A65496">
        <w:rPr>
          <w:rFonts w:ascii="Californian FB" w:hAnsi="Californian FB" w:cs="Times New Roman"/>
          <w:color w:val="000000"/>
          <w:sz w:val="24"/>
          <w:szCs w:val="24"/>
        </w:rPr>
        <w:t xml:space="preserve">, but may nonetheless fail to qualify as fair use: derivative works. There is some inherent tension in the Copyright Act between derivative works, reserved to the copyright holder, which are defined in part as works that “recast[ ], </w:t>
      </w:r>
      <w:r w:rsidRPr="00A65496">
        <w:rPr>
          <w:rFonts w:ascii="Californian FB" w:hAnsi="Californian FB" w:cs="Times New Roman"/>
          <w:i/>
          <w:iCs/>
          <w:color w:val="000000"/>
          <w:sz w:val="24"/>
          <w:szCs w:val="24"/>
        </w:rPr>
        <w:t>transform</w:t>
      </w:r>
      <w:r w:rsidRPr="00A65496">
        <w:rPr>
          <w:rFonts w:ascii="Californian FB" w:hAnsi="Californian FB" w:cs="Times New Roman"/>
          <w:color w:val="000000"/>
          <w:sz w:val="24"/>
          <w:szCs w:val="24"/>
        </w:rPr>
        <w:t xml:space="preserve">[ ], or adapt[ ]” an original work, </w:t>
      </w:r>
      <w:hyperlink r:id="rId132" w:history="1">
        <w:r w:rsidRPr="00A65496">
          <w:rPr>
            <w:rFonts w:ascii="Californian FB" w:hAnsi="Californian FB" w:cs="Times New Roman"/>
            <w:color w:val="000000"/>
            <w:sz w:val="24"/>
            <w:szCs w:val="24"/>
          </w:rPr>
          <w:t>17 U.S.C. § 101</w:t>
        </w:r>
      </w:hyperlink>
      <w:r w:rsidRPr="00A65496">
        <w:rPr>
          <w:rFonts w:ascii="Californian FB" w:hAnsi="Californian FB" w:cs="Times New Roman"/>
          <w:color w:val="000000"/>
          <w:sz w:val="24"/>
          <w:szCs w:val="24"/>
        </w:rPr>
        <w:t xml:space="preserve"> (emphasis added), and “transformative” fair uses of the copyrighted work by others. Thus, as we have previously observed, an overly liberal standard of </w:t>
      </w:r>
      <w:proofErr w:type="spellStart"/>
      <w:r w:rsidRPr="00A65496">
        <w:rPr>
          <w:rFonts w:ascii="Californian FB" w:hAnsi="Californian FB" w:cs="Times New Roman"/>
          <w:color w:val="000000"/>
          <w:sz w:val="24"/>
          <w:szCs w:val="24"/>
        </w:rPr>
        <w:t>transformativeness</w:t>
      </w:r>
      <w:proofErr w:type="spellEnd"/>
      <w:r w:rsidRPr="00A65496">
        <w:rPr>
          <w:rFonts w:ascii="Californian FB" w:hAnsi="Californian FB" w:cs="Times New Roman"/>
          <w:color w:val="000000"/>
          <w:sz w:val="24"/>
          <w:szCs w:val="24"/>
        </w:rPr>
        <w:t xml:space="preserve">, such as that employed by the district court in this case, risks crowding out statutory protections for derivative works. </w:t>
      </w:r>
      <w:r>
        <w:rPr>
          <w:rFonts w:ascii="Californian FB" w:hAnsi="Californian FB" w:cs="Times New Roman"/>
          <w:color w:val="000000"/>
          <w:sz w:val="24"/>
          <w:szCs w:val="24"/>
        </w:rPr>
        <w:t xml:space="preserve">* * * </w:t>
      </w:r>
    </w:p>
    <w:p w14:paraId="1497A958"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We addressed derivative works in </w:t>
      </w:r>
      <w:hyperlink r:id="rId133"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characterizing them as secondary works that merely present “the same material but in a new form” without “add[</w:t>
      </w:r>
      <w:proofErr w:type="spellStart"/>
      <w:r w:rsidRPr="00A65496">
        <w:rPr>
          <w:rFonts w:ascii="Californian FB" w:hAnsi="Californian FB" w:cs="Times New Roman"/>
          <w:color w:val="000000"/>
          <w:sz w:val="24"/>
          <w:szCs w:val="24"/>
        </w:rPr>
        <w:t>ing</w:t>
      </w:r>
      <w:proofErr w:type="spellEnd"/>
      <w:r w:rsidRPr="00A65496">
        <w:rPr>
          <w:rFonts w:ascii="Californian FB" w:hAnsi="Californian FB" w:cs="Times New Roman"/>
          <w:color w:val="000000"/>
          <w:sz w:val="24"/>
          <w:szCs w:val="24"/>
        </w:rPr>
        <w:t xml:space="preserve">] something new.” </w:t>
      </w:r>
      <w:hyperlink r:id="rId134" w:anchor="co_pp_sp_506_708" w:history="1">
        <w:r w:rsidRPr="00A65496">
          <w:rPr>
            <w:rFonts w:ascii="Californian FB" w:hAnsi="Californian FB" w:cs="Times New Roman"/>
            <w:color w:val="000000"/>
            <w:sz w:val="24"/>
            <w:szCs w:val="24"/>
          </w:rPr>
          <w:t>714 F.3d at 708</w:t>
        </w:r>
      </w:hyperlink>
      <w:r w:rsidRPr="00A65496">
        <w:rPr>
          <w:rFonts w:ascii="Californian FB" w:hAnsi="Californian FB" w:cs="Times New Roman"/>
          <w:color w:val="000000"/>
          <w:sz w:val="24"/>
          <w:szCs w:val="24"/>
        </w:rPr>
        <w:t xml:space="preserve"> (citation omitted); </w:t>
      </w:r>
      <w:r w:rsidRPr="00A65496">
        <w:rPr>
          <w:rFonts w:ascii="Californian FB" w:hAnsi="Californian FB" w:cs="Times New Roman"/>
          <w:i/>
          <w:iCs/>
          <w:color w:val="000000"/>
          <w:sz w:val="24"/>
          <w:szCs w:val="24"/>
        </w:rPr>
        <w:t xml:space="preserve">see also </w:t>
      </w:r>
      <w:hyperlink r:id="rId135" w:anchor="co_pp_sp_506_215" w:history="1">
        <w:r w:rsidRPr="00A65496">
          <w:rPr>
            <w:rFonts w:ascii="Californian FB" w:hAnsi="Californian FB" w:cs="Times New Roman"/>
            <w:i/>
            <w:iCs/>
            <w:color w:val="000000"/>
            <w:sz w:val="24"/>
            <w:szCs w:val="24"/>
          </w:rPr>
          <w:t>Authors Guild</w:t>
        </w:r>
        <w:r w:rsidRPr="00A65496">
          <w:rPr>
            <w:rFonts w:ascii="Californian FB" w:hAnsi="Californian FB" w:cs="Times New Roman"/>
            <w:color w:val="000000"/>
            <w:sz w:val="24"/>
            <w:szCs w:val="24"/>
          </w:rPr>
          <w:t>, 804 F.3d at 215-16</w:t>
        </w:r>
      </w:hyperlink>
      <w:r w:rsidRPr="00A65496">
        <w:rPr>
          <w:rFonts w:ascii="Californian FB" w:hAnsi="Californian FB" w:cs="Times New Roman"/>
          <w:color w:val="000000"/>
          <w:sz w:val="24"/>
          <w:szCs w:val="24"/>
        </w:rPr>
        <w:t xml:space="preserve"> (“[D]</w:t>
      </w:r>
      <w:proofErr w:type="spellStart"/>
      <w:r w:rsidRPr="00A65496">
        <w:rPr>
          <w:rFonts w:ascii="Californian FB" w:hAnsi="Californian FB" w:cs="Times New Roman"/>
          <w:color w:val="000000"/>
          <w:sz w:val="24"/>
          <w:szCs w:val="24"/>
        </w:rPr>
        <w:t>erivative</w:t>
      </w:r>
      <w:proofErr w:type="spellEnd"/>
      <w:r w:rsidRPr="00A65496">
        <w:rPr>
          <w:rFonts w:ascii="Californian FB" w:hAnsi="Californian FB" w:cs="Times New Roman"/>
          <w:color w:val="000000"/>
          <w:sz w:val="24"/>
          <w:szCs w:val="24"/>
        </w:rPr>
        <w:t xml:space="preserve"> works generally involve transformations in the nature of </w:t>
      </w:r>
      <w:r w:rsidRPr="00A65496">
        <w:rPr>
          <w:rFonts w:ascii="Californian FB" w:hAnsi="Californian FB" w:cs="Times New Roman"/>
          <w:i/>
          <w:iCs/>
          <w:color w:val="000000"/>
          <w:sz w:val="24"/>
          <w:szCs w:val="24"/>
        </w:rPr>
        <w:t>changes of form</w:t>
      </w:r>
      <w:r w:rsidRPr="00A65496">
        <w:rPr>
          <w:rFonts w:ascii="Californian FB" w:hAnsi="Californian FB" w:cs="Times New Roman"/>
          <w:color w:val="000000"/>
          <w:sz w:val="24"/>
          <w:szCs w:val="24"/>
        </w:rPr>
        <w:t>.”) (</w:t>
      </w:r>
      <w:proofErr w:type="gramStart"/>
      <w:r w:rsidRPr="00A65496">
        <w:rPr>
          <w:rFonts w:ascii="Californian FB" w:hAnsi="Californian FB" w:cs="Times New Roman"/>
          <w:color w:val="000000"/>
          <w:sz w:val="24"/>
          <w:szCs w:val="24"/>
        </w:rPr>
        <w:t>emphasis</w:t>
      </w:r>
      <w:proofErr w:type="gramEnd"/>
      <w:r w:rsidRPr="00A65496">
        <w:rPr>
          <w:rFonts w:ascii="Californian FB" w:hAnsi="Californian FB" w:cs="Times New Roman"/>
          <w:color w:val="000000"/>
          <w:sz w:val="24"/>
          <w:szCs w:val="24"/>
        </w:rPr>
        <w:t xml:space="preserve"> in original). While that description </w:t>
      </w:r>
      <w:r w:rsidRPr="00A65496">
        <w:rPr>
          <w:rFonts w:ascii="Californian FB" w:hAnsi="Californian FB" w:cs="Times New Roman"/>
          <w:color w:val="000000"/>
          <w:sz w:val="24"/>
          <w:szCs w:val="24"/>
        </w:rPr>
        <w:lastRenderedPageBreak/>
        <w:t xml:space="preserve">may be a useful shorthand, it is likewise susceptible to misapplication if interpreted too broadly. Indeed, many </w:t>
      </w:r>
      <w:proofErr w:type="gramStart"/>
      <w:r w:rsidRPr="00A65496">
        <w:rPr>
          <w:rFonts w:ascii="Californian FB" w:hAnsi="Californian FB" w:cs="Times New Roman"/>
          <w:color w:val="000000"/>
          <w:sz w:val="24"/>
          <w:szCs w:val="24"/>
        </w:rPr>
        <w:t>derivative</w:t>
      </w:r>
      <w:proofErr w:type="gramEnd"/>
      <w:r w:rsidRPr="00A65496">
        <w:rPr>
          <w:rFonts w:ascii="Californian FB" w:hAnsi="Californian FB" w:cs="Times New Roman"/>
          <w:color w:val="000000"/>
          <w:sz w:val="24"/>
          <w:szCs w:val="24"/>
        </w:rPr>
        <w:t xml:space="preserve"> works that “add something new” to their source material would </w:t>
      </w:r>
      <w:r w:rsidRPr="00A65496">
        <w:rPr>
          <w:rFonts w:ascii="Californian FB" w:hAnsi="Californian FB" w:cs="Times New Roman"/>
          <w:i/>
          <w:iCs/>
          <w:color w:val="000000"/>
          <w:sz w:val="24"/>
          <w:szCs w:val="24"/>
        </w:rPr>
        <w:t>not</w:t>
      </w:r>
      <w:r w:rsidRPr="00A65496">
        <w:rPr>
          <w:rFonts w:ascii="Californian FB" w:hAnsi="Californian FB" w:cs="Times New Roman"/>
          <w:color w:val="000000"/>
          <w:sz w:val="24"/>
          <w:szCs w:val="24"/>
        </w:rPr>
        <w:t xml:space="preserve"> qualify as fair use.</w:t>
      </w:r>
    </w:p>
    <w:p w14:paraId="194852F0"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Consider, for example, a film adaptation of a novel. Such adaptations frequently add quite a bit to their source material: characters are combined, eliminated, or created out of thin air; plot elements are simplified or eliminated; new scenes are added; the moral or political implications of the original work may be eliminated or even reversed, or plot and character elements altered to create such implications where the original text eschewed such matters</w:t>
      </w:r>
      <w:proofErr w:type="gramStart"/>
      <w:r w:rsidRPr="00A65496">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r>
        <w:rPr>
          <w:rFonts w:ascii="Californian FB" w:hAnsi="Californian FB" w:cs="Times New Roman"/>
          <w:color w:val="000000"/>
          <w:sz w:val="24"/>
          <w:szCs w:val="24"/>
        </w:rPr>
        <w:t xml:space="preserve"> </w:t>
      </w:r>
      <w:r w:rsidRPr="00A65496">
        <w:rPr>
          <w:rFonts w:ascii="Californian FB" w:hAnsi="Californian FB" w:cs="Times New Roman"/>
          <w:color w:val="000000"/>
          <w:sz w:val="24"/>
          <w:szCs w:val="24"/>
        </w:rPr>
        <w:t xml:space="preserve">Despite the extent to which the resulting movie may transform the aesthetic and message </w:t>
      </w:r>
      <w:bookmarkStart w:id="80" w:name="co_pp_sp_8173_40_1"/>
      <w:bookmarkEnd w:id="80"/>
      <w:r w:rsidRPr="00A65496">
        <w:rPr>
          <w:rFonts w:ascii="Californian FB" w:hAnsi="Californian FB" w:cs="Times New Roman"/>
          <w:color w:val="000000"/>
          <w:sz w:val="24"/>
          <w:szCs w:val="24"/>
        </w:rPr>
        <w:t xml:space="preserve">of the underlying literary work, film adaptations are identified as a paradigmatic example of derivative works. </w:t>
      </w:r>
      <w:r w:rsidRPr="00A65496">
        <w:rPr>
          <w:rFonts w:ascii="Californian FB" w:hAnsi="Californian FB" w:cs="Times New Roman"/>
          <w:i/>
          <w:iCs/>
          <w:color w:val="000000"/>
          <w:sz w:val="24"/>
          <w:szCs w:val="24"/>
        </w:rPr>
        <w:t>See, e.g.</w:t>
      </w:r>
      <w:r w:rsidRPr="00A65496">
        <w:rPr>
          <w:rFonts w:ascii="Californian FB" w:hAnsi="Californian FB" w:cs="Times New Roman"/>
          <w:color w:val="000000"/>
          <w:sz w:val="24"/>
          <w:szCs w:val="24"/>
        </w:rPr>
        <w:t xml:space="preserve">, </w:t>
      </w:r>
      <w:hyperlink r:id="rId136" w:anchor="co_pp_sp_506_95" w:history="1">
        <w:r w:rsidRPr="00A65496">
          <w:rPr>
            <w:rFonts w:ascii="Californian FB" w:hAnsi="Californian FB" w:cs="Times New Roman"/>
            <w:i/>
            <w:iCs/>
            <w:color w:val="000000"/>
            <w:sz w:val="24"/>
            <w:szCs w:val="24"/>
          </w:rPr>
          <w:t xml:space="preserve">Authors Guild, Inc. v. </w:t>
        </w:r>
        <w:proofErr w:type="spellStart"/>
        <w:r w:rsidRPr="00A65496">
          <w:rPr>
            <w:rFonts w:ascii="Californian FB" w:hAnsi="Californian FB" w:cs="Times New Roman"/>
            <w:i/>
            <w:iCs/>
            <w:color w:val="000000"/>
            <w:sz w:val="24"/>
            <w:szCs w:val="24"/>
          </w:rPr>
          <w:t>HathiTrust</w:t>
        </w:r>
        <w:proofErr w:type="spellEnd"/>
        <w:r w:rsidRPr="00A65496">
          <w:rPr>
            <w:rFonts w:ascii="Californian FB" w:hAnsi="Californian FB" w:cs="Times New Roman"/>
            <w:color w:val="000000"/>
            <w:sz w:val="24"/>
            <w:szCs w:val="24"/>
          </w:rPr>
          <w:t>, 755 F.3d 87, 95 (2d Cir. 2014)</w:t>
        </w:r>
      </w:hyperlink>
      <w:r w:rsidRPr="00A65496">
        <w:rPr>
          <w:rFonts w:ascii="Californian FB" w:hAnsi="Californian FB" w:cs="Times New Roman"/>
          <w:color w:val="000000"/>
          <w:sz w:val="24"/>
          <w:szCs w:val="24"/>
        </w:rPr>
        <w:t xml:space="preserve"> (“Paradigmatic examples of derivative works include ... the adaptation of a novel into a movie or a play.”).</w:t>
      </w:r>
    </w:p>
    <w:p w14:paraId="06A27CFC" w14:textId="347BB811"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w:t>
      </w:r>
      <w:bookmarkStart w:id="81" w:name="co_anchor_B112054368247_1"/>
      <w:bookmarkEnd w:id="81"/>
      <w:r w:rsidRPr="00A65496">
        <w:rPr>
          <w:rFonts w:ascii="Californian FB" w:hAnsi="Californian FB" w:cs="Times New Roman"/>
          <w:color w:val="000000"/>
          <w:sz w:val="24"/>
          <w:szCs w:val="24"/>
        </w:rPr>
        <w:t xml:space="preserve">In evaluating the extent to which a work is transformative in the fair use context, we consider the “purpose and character” of the primary and secondary works. </w:t>
      </w:r>
      <w:hyperlink r:id="rId137" w:anchor="co_pp_sp_708_1204" w:history="1">
        <w:r w:rsidRPr="00A65496">
          <w:rPr>
            <w:rFonts w:ascii="Californian FB" w:hAnsi="Californian FB" w:cs="Times New Roman"/>
            <w:i/>
            <w:iCs/>
            <w:color w:val="000000"/>
            <w:sz w:val="24"/>
            <w:szCs w:val="24"/>
          </w:rPr>
          <w:t>Google</w:t>
        </w:r>
        <w:r w:rsidRPr="00A65496">
          <w:rPr>
            <w:rFonts w:ascii="Californian FB" w:hAnsi="Californian FB" w:cs="Times New Roman"/>
            <w:color w:val="000000"/>
            <w:sz w:val="24"/>
            <w:szCs w:val="24"/>
          </w:rPr>
          <w:t>, 141 S. Ct. at 1204</w:t>
        </w:r>
      </w:hyperlink>
      <w:r w:rsidRPr="00A65496">
        <w:rPr>
          <w:rFonts w:ascii="Californian FB" w:hAnsi="Californian FB" w:cs="Times New Roman"/>
          <w:color w:val="000000"/>
          <w:sz w:val="24"/>
          <w:szCs w:val="24"/>
        </w:rPr>
        <w:t xml:space="preserve">. In </w:t>
      </w:r>
      <w:hyperlink r:id="rId138" w:history="1">
        <w:r w:rsidRPr="00A65496">
          <w:rPr>
            <w:rFonts w:ascii="Californian FB" w:hAnsi="Californian FB" w:cs="Times New Roman"/>
            <w:i/>
            <w:iCs/>
            <w:color w:val="000000"/>
            <w:sz w:val="24"/>
            <w:szCs w:val="24"/>
          </w:rPr>
          <w:t>Bill Graham Archives v. Dorling Kindersley Ltd.</w:t>
        </w:r>
      </w:hyperlink>
      <w:r w:rsidRPr="00A65496">
        <w:rPr>
          <w:rFonts w:ascii="Californian FB" w:hAnsi="Californian FB" w:cs="Times New Roman"/>
          <w:color w:val="000000"/>
          <w:sz w:val="24"/>
          <w:szCs w:val="24"/>
        </w:rPr>
        <w:t xml:space="preserve">, for example, we held that the reproduction in a book about the Grateful Dead of images of posters originally created to advertise Grateful Dead concerts was transformative because that use was “plainly different from the original purpose for which they were created.” </w:t>
      </w:r>
      <w:hyperlink r:id="rId139" w:anchor="co_pp_sp_506_609" w:history="1">
        <w:r w:rsidRPr="00A65496">
          <w:rPr>
            <w:rFonts w:ascii="Californian FB" w:hAnsi="Californian FB" w:cs="Times New Roman"/>
            <w:color w:val="000000"/>
            <w:sz w:val="24"/>
            <w:szCs w:val="24"/>
          </w:rPr>
          <w:t>448 F.3d 605, 609-10 (2d Cir. 2006)</w:t>
        </w:r>
      </w:hyperlink>
      <w:r w:rsidRPr="00A65496">
        <w:rPr>
          <w:rFonts w:ascii="Californian FB" w:hAnsi="Californian FB" w:cs="Times New Roman"/>
          <w:color w:val="000000"/>
          <w:sz w:val="24"/>
          <w:szCs w:val="24"/>
        </w:rPr>
        <w:t xml:space="preserve">. Likewise, in </w:t>
      </w:r>
      <w:hyperlink r:id="rId140" w:history="1">
        <w:proofErr w:type="spellStart"/>
        <w:r w:rsidRPr="00A65496">
          <w:rPr>
            <w:rFonts w:ascii="Californian FB" w:hAnsi="Californian FB" w:cs="Times New Roman"/>
            <w:i/>
            <w:iCs/>
            <w:color w:val="000000"/>
            <w:sz w:val="24"/>
            <w:szCs w:val="24"/>
          </w:rPr>
          <w:t>HathiTrust</w:t>
        </w:r>
        <w:proofErr w:type="spellEnd"/>
      </w:hyperlink>
      <w:r w:rsidRPr="00A65496">
        <w:rPr>
          <w:rFonts w:ascii="Californian FB" w:hAnsi="Californian FB" w:cs="Times New Roman"/>
          <w:color w:val="000000"/>
          <w:sz w:val="24"/>
          <w:szCs w:val="24"/>
        </w:rPr>
        <w:t xml:space="preserve"> we held that the defendants’ creation of a searchable “digital corpus” comprising scanned copies of tens of millions of books that enabled researchers, scholars, and others to pinpoint the exact page of any book in the catalogue on which the searched term was used was a “quintessentially transformative use.” </w:t>
      </w:r>
      <w:hyperlink r:id="rId141" w:anchor="co_pp_sp_506_97" w:history="1">
        <w:r w:rsidRPr="00A65496">
          <w:rPr>
            <w:rFonts w:ascii="Californian FB" w:hAnsi="Californian FB" w:cs="Times New Roman"/>
            <w:color w:val="000000"/>
            <w:sz w:val="24"/>
            <w:szCs w:val="24"/>
          </w:rPr>
          <w:t>755 F.3d at 97</w:t>
        </w:r>
      </w:hyperlink>
      <w:r w:rsidRPr="00A65496">
        <w:rPr>
          <w:rFonts w:ascii="Californian FB" w:hAnsi="Californian FB" w:cs="Times New Roman"/>
          <w:color w:val="000000"/>
          <w:sz w:val="24"/>
          <w:szCs w:val="24"/>
        </w:rPr>
        <w:t xml:space="preserve">. In </w:t>
      </w:r>
      <w:hyperlink r:id="rId142" w:history="1">
        <w:r w:rsidRPr="00A65496">
          <w:rPr>
            <w:rFonts w:ascii="Californian FB" w:hAnsi="Californian FB" w:cs="Times New Roman"/>
            <w:i/>
            <w:iCs/>
            <w:color w:val="000000"/>
            <w:sz w:val="24"/>
            <w:szCs w:val="24"/>
          </w:rPr>
          <w:t>Authors Guild</w:t>
        </w:r>
      </w:hyperlink>
      <w:r w:rsidRPr="00A65496">
        <w:rPr>
          <w:rFonts w:ascii="Californian FB" w:hAnsi="Californian FB" w:cs="Times New Roman"/>
          <w:color w:val="000000"/>
          <w:sz w:val="24"/>
          <w:szCs w:val="24"/>
        </w:rPr>
        <w:t xml:space="preserve">, we reached the same conclusion when faced with a larger digital corpus complete with tools that enabled researchers to track how a specific word or phrase has been used throughout the development of the English language, despite the fact that, unlike the database in </w:t>
      </w:r>
      <w:hyperlink r:id="rId143" w:history="1">
        <w:proofErr w:type="spellStart"/>
        <w:r w:rsidRPr="00A65496">
          <w:rPr>
            <w:rFonts w:ascii="Californian FB" w:hAnsi="Californian FB" w:cs="Times New Roman"/>
            <w:i/>
            <w:iCs/>
            <w:color w:val="000000"/>
            <w:sz w:val="24"/>
            <w:szCs w:val="24"/>
          </w:rPr>
          <w:t>Hathitrust</w:t>
        </w:r>
        <w:proofErr w:type="spellEnd"/>
      </w:hyperlink>
      <w:r w:rsidRPr="00A65496">
        <w:rPr>
          <w:rFonts w:ascii="Californian FB" w:hAnsi="Californian FB" w:cs="Times New Roman"/>
          <w:color w:val="000000"/>
          <w:sz w:val="24"/>
          <w:szCs w:val="24"/>
        </w:rPr>
        <w:t xml:space="preserve">, Google’s database also permitted the searcher to view a “snippet” from the original text showing the context in which the word or phrase had appeared. </w:t>
      </w:r>
      <w:hyperlink r:id="rId144" w:anchor="co_pp_sp_506_216" w:history="1">
        <w:r w:rsidRPr="00A65496">
          <w:rPr>
            <w:rFonts w:ascii="Californian FB" w:hAnsi="Californian FB" w:cs="Times New Roman"/>
            <w:color w:val="000000"/>
            <w:sz w:val="24"/>
            <w:szCs w:val="24"/>
          </w:rPr>
          <w:t>804 F.3d at 216-17</w:t>
        </w:r>
      </w:hyperlink>
      <w:r w:rsidRPr="00A65496">
        <w:rPr>
          <w:rFonts w:ascii="Californian FB" w:hAnsi="Californian FB" w:cs="Times New Roman"/>
          <w:color w:val="000000"/>
          <w:sz w:val="24"/>
          <w:szCs w:val="24"/>
        </w:rPr>
        <w:t xml:space="preserve">. And most recently, in </w:t>
      </w:r>
      <w:hyperlink r:id="rId145" w:history="1">
        <w:r w:rsidRPr="00A65496">
          <w:rPr>
            <w:rFonts w:ascii="Californian FB" w:hAnsi="Californian FB" w:cs="Times New Roman"/>
            <w:i/>
            <w:iCs/>
            <w:color w:val="000000"/>
            <w:sz w:val="24"/>
            <w:szCs w:val="24"/>
          </w:rPr>
          <w:t>Google</w:t>
        </w:r>
      </w:hyperlink>
      <w:r w:rsidRPr="00A65496">
        <w:rPr>
          <w:rFonts w:ascii="Californian FB" w:hAnsi="Californian FB" w:cs="Times New Roman"/>
          <w:color w:val="000000"/>
          <w:sz w:val="24"/>
          <w:szCs w:val="24"/>
        </w:rPr>
        <w:t xml:space="preserve">, the Supreme Court held that fair use protected Google’s “precise[ ]” copying of certain computer programming language in part because Google sought “to create new products ... [and] expand the use and usefulness of ... smartphones” with it. </w:t>
      </w:r>
      <w:hyperlink r:id="rId146" w:anchor="co_pp_sp_708_1203" w:history="1">
        <w:r w:rsidRPr="00A65496">
          <w:rPr>
            <w:rFonts w:ascii="Californian FB" w:hAnsi="Californian FB" w:cs="Times New Roman"/>
            <w:i/>
            <w:iCs/>
            <w:color w:val="000000"/>
            <w:sz w:val="24"/>
            <w:szCs w:val="24"/>
          </w:rPr>
          <w:t>Google</w:t>
        </w:r>
        <w:r w:rsidRPr="00A65496">
          <w:rPr>
            <w:rFonts w:ascii="Californian FB" w:hAnsi="Californian FB" w:cs="Times New Roman"/>
            <w:color w:val="000000"/>
            <w:sz w:val="24"/>
            <w:szCs w:val="24"/>
          </w:rPr>
          <w:t>, 141 S. Ct. at 1203</w:t>
        </w:r>
      </w:hyperlink>
      <w:r w:rsidRPr="00A65496">
        <w:rPr>
          <w:rFonts w:ascii="Californian FB" w:hAnsi="Californian FB" w:cs="Times New Roman"/>
          <w:color w:val="000000"/>
          <w:sz w:val="24"/>
          <w:szCs w:val="24"/>
        </w:rPr>
        <w:t xml:space="preserve">. Thus, the Supreme Court concluded, “the ‘purpose and character’ of Google’s copying was transformative.” </w:t>
      </w:r>
      <w:hyperlink r:id="rId147" w:anchor="co_pp_sp_708_1204" w:history="1">
        <w:r w:rsidRPr="00A65496">
          <w:rPr>
            <w:rFonts w:ascii="Californian FB" w:hAnsi="Californian FB" w:cs="Times New Roman"/>
            <w:i/>
            <w:iCs/>
            <w:color w:val="000000"/>
            <w:sz w:val="24"/>
            <w:szCs w:val="24"/>
          </w:rPr>
          <w:t>Id</w:t>
        </w:r>
        <w:r w:rsidRPr="00A65496">
          <w:rPr>
            <w:rFonts w:ascii="Californian FB" w:hAnsi="Californian FB" w:cs="Times New Roman"/>
            <w:color w:val="000000"/>
            <w:sz w:val="24"/>
            <w:szCs w:val="24"/>
          </w:rPr>
          <w:t>. at 1204</w:t>
        </w:r>
      </w:hyperlink>
      <w:r w:rsidRPr="00A65496">
        <w:rPr>
          <w:rFonts w:ascii="Californian FB" w:hAnsi="Californian FB" w:cs="Times New Roman"/>
          <w:color w:val="000000"/>
          <w:sz w:val="24"/>
          <w:szCs w:val="24"/>
        </w:rPr>
        <w:t>.</w:t>
      </w:r>
    </w:p>
    <w:p w14:paraId="22A18114" w14:textId="21CFA7D5" w:rsidR="00ED71C4" w:rsidRPr="004E50D2"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But purpose is perhaps a less useful metric where, as here, our task is to assess the transformative nature of works of visual art that, at least at a high level of generality, share the same overarching purpose (</w:t>
      </w:r>
      <w:r w:rsidRPr="00A65496">
        <w:rPr>
          <w:rFonts w:ascii="Californian FB" w:hAnsi="Californian FB" w:cs="Times New Roman"/>
          <w:i/>
          <w:iCs/>
          <w:color w:val="000000"/>
          <w:sz w:val="24"/>
          <w:szCs w:val="24"/>
        </w:rPr>
        <w:t>i.e.</w:t>
      </w:r>
      <w:r w:rsidRPr="00A65496">
        <w:rPr>
          <w:rFonts w:ascii="Californian FB" w:hAnsi="Californian FB" w:cs="Times New Roman"/>
          <w:color w:val="000000"/>
          <w:sz w:val="24"/>
          <w:szCs w:val="24"/>
        </w:rPr>
        <w:t xml:space="preserve">, to serve as works of visual art). </w:t>
      </w:r>
      <w:r>
        <w:rPr>
          <w:rFonts w:ascii="Californian FB" w:hAnsi="Californian FB" w:cs="Times New Roman"/>
          <w:color w:val="000000"/>
          <w:sz w:val="24"/>
          <w:szCs w:val="24"/>
        </w:rPr>
        <w:t xml:space="preserve">[The court discusses three previous Second Circuit cases about fair use of works of visual art: </w:t>
      </w:r>
      <w:r>
        <w:rPr>
          <w:rFonts w:ascii="Californian FB" w:hAnsi="Californian FB" w:cs="Times New Roman"/>
          <w:i/>
          <w:iCs/>
          <w:color w:val="000000"/>
          <w:sz w:val="24"/>
          <w:szCs w:val="24"/>
        </w:rPr>
        <w:t>Blanch v. Koons</w:t>
      </w:r>
      <w:r>
        <w:rPr>
          <w:rFonts w:ascii="Californian FB" w:hAnsi="Californian FB" w:cs="Times New Roman"/>
          <w:color w:val="000000"/>
          <w:sz w:val="24"/>
          <w:szCs w:val="24"/>
        </w:rPr>
        <w:t>;</w:t>
      </w:r>
      <w:r>
        <w:rPr>
          <w:rFonts w:ascii="Californian FB" w:hAnsi="Californian FB" w:cs="Times New Roman"/>
          <w:i/>
          <w:iCs/>
          <w:color w:val="000000"/>
          <w:sz w:val="24"/>
          <w:szCs w:val="24"/>
        </w:rPr>
        <w:t xml:space="preserve"> </w:t>
      </w:r>
      <w:hyperlink r:id="rId148" w:history="1">
        <w:r w:rsidRPr="00A65496">
          <w:rPr>
            <w:rFonts w:ascii="Californian FB" w:hAnsi="Californian FB" w:cs="Times New Roman"/>
            <w:i/>
            <w:iCs/>
            <w:color w:val="000000"/>
            <w:sz w:val="24"/>
            <w:szCs w:val="24"/>
          </w:rPr>
          <w:t>Rogers v. Koons</w:t>
        </w:r>
      </w:hyperlink>
      <w:r w:rsidRPr="00A65496">
        <w:rPr>
          <w:rFonts w:ascii="Californian FB" w:hAnsi="Californian FB" w:cs="Times New Roman"/>
          <w:color w:val="000000"/>
          <w:sz w:val="24"/>
          <w:szCs w:val="24"/>
        </w:rPr>
        <w:t xml:space="preserve">, </w:t>
      </w:r>
      <w:hyperlink r:id="rId149" w:anchor="co_pp_sp_350_309" w:history="1">
        <w:r w:rsidRPr="00A65496">
          <w:rPr>
            <w:rFonts w:ascii="Californian FB" w:hAnsi="Californian FB" w:cs="Times New Roman"/>
            <w:color w:val="000000"/>
            <w:sz w:val="24"/>
            <w:szCs w:val="24"/>
          </w:rPr>
          <w:t>960 F.2d 301 (2d Cir. 1992)</w:t>
        </w:r>
      </w:hyperlink>
      <w:r>
        <w:rPr>
          <w:rFonts w:ascii="Californian FB" w:hAnsi="Californian FB" w:cs="Times New Roman"/>
          <w:color w:val="000000"/>
          <w:sz w:val="24"/>
          <w:szCs w:val="24"/>
        </w:rPr>
        <w:t xml:space="preserve">, and </w:t>
      </w:r>
      <w:r>
        <w:rPr>
          <w:rFonts w:ascii="Californian FB" w:hAnsi="Californian FB" w:cs="Times New Roman"/>
          <w:i/>
          <w:iCs/>
          <w:color w:val="000000"/>
          <w:sz w:val="24"/>
          <w:szCs w:val="24"/>
        </w:rPr>
        <w:t xml:space="preserve">Prince v. </w:t>
      </w:r>
      <w:proofErr w:type="spellStart"/>
      <w:r>
        <w:rPr>
          <w:rFonts w:ascii="Californian FB" w:hAnsi="Californian FB" w:cs="Times New Roman"/>
          <w:i/>
          <w:iCs/>
          <w:color w:val="000000"/>
          <w:sz w:val="24"/>
          <w:szCs w:val="24"/>
        </w:rPr>
        <w:t>Cariou</w:t>
      </w:r>
      <w:proofErr w:type="spellEnd"/>
      <w:r>
        <w:rPr>
          <w:rFonts w:ascii="Californian FB" w:hAnsi="Californian FB" w:cs="Times New Roman"/>
          <w:i/>
          <w:iCs/>
          <w:color w:val="000000"/>
          <w:sz w:val="24"/>
          <w:szCs w:val="24"/>
        </w:rPr>
        <w:t>.</w:t>
      </w:r>
      <w:r>
        <w:rPr>
          <w:rFonts w:ascii="Californian FB" w:hAnsi="Californian FB" w:cs="Times New Roman"/>
          <w:color w:val="000000"/>
          <w:sz w:val="24"/>
          <w:szCs w:val="24"/>
        </w:rPr>
        <w:t>]</w:t>
      </w:r>
    </w:p>
    <w:p w14:paraId="28E19237" w14:textId="36665DB6" w:rsidR="00ED71C4" w:rsidRPr="00A65496" w:rsidRDefault="00811D42"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82" w:name="co_pp_sp_8173_41_1"/>
      <w:bookmarkEnd w:id="82"/>
      <w:r w:rsidRPr="00AD230C">
        <w:rPr>
          <w:rFonts w:ascii="Californian FB" w:hAnsi="Californian FB" w:cs="Times New Roman"/>
          <w:noProof/>
          <w:color w:val="000000"/>
          <w:sz w:val="24"/>
          <w:szCs w:val="24"/>
        </w:rPr>
        <w:lastRenderedPageBreak/>
        <mc:AlternateContent>
          <mc:Choice Requires="wps">
            <w:drawing>
              <wp:anchor distT="45720" distB="45720" distL="114300" distR="114300" simplePos="0" relativeHeight="251752448" behindDoc="0" locked="0" layoutInCell="1" allowOverlap="1" wp14:anchorId="674078B1" wp14:editId="5CFCDF94">
                <wp:simplePos x="0" y="0"/>
                <wp:positionH relativeFrom="column">
                  <wp:posOffset>3976370</wp:posOffset>
                </wp:positionH>
                <wp:positionV relativeFrom="paragraph">
                  <wp:posOffset>2540</wp:posOffset>
                </wp:positionV>
                <wp:extent cx="2131060" cy="2595245"/>
                <wp:effectExtent l="0" t="0" r="21590" b="146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95245"/>
                        </a:xfrm>
                        <a:prstGeom prst="rect">
                          <a:avLst/>
                        </a:prstGeom>
                        <a:solidFill>
                          <a:schemeClr val="accent1">
                            <a:lumMod val="40000"/>
                            <a:lumOff val="60000"/>
                          </a:schemeClr>
                        </a:solidFill>
                        <a:ln w="9525">
                          <a:solidFill>
                            <a:srgbClr val="000000"/>
                          </a:solidFill>
                          <a:miter lim="800000"/>
                          <a:headEnd/>
                          <a:tailEnd/>
                        </a:ln>
                      </wps:spPr>
                      <wps:txbx>
                        <w:txbxContent>
                          <w:p w14:paraId="443ADE76" w14:textId="77777777" w:rsidR="00ED71C4" w:rsidRPr="00931AC8" w:rsidRDefault="00ED71C4" w:rsidP="00ED71C4">
                            <w:pPr>
                              <w:jc w:val="center"/>
                              <w:rPr>
                                <w:rFonts w:ascii="Californian FB" w:hAnsi="Californian FB" w:cstheme="majorHAnsi"/>
                                <w:b/>
                              </w:rPr>
                            </w:pPr>
                            <w:r w:rsidRPr="00931AC8">
                              <w:rPr>
                                <w:rFonts w:ascii="Californian FB" w:hAnsi="Californian FB" w:cstheme="majorHAnsi"/>
                                <w:b/>
                              </w:rPr>
                              <w:t>FOOD FOR THOUGHT</w:t>
                            </w:r>
                          </w:p>
                          <w:p w14:paraId="21753A3F" w14:textId="77777777" w:rsidR="00ED71C4" w:rsidRPr="00811D42" w:rsidRDefault="00ED71C4" w:rsidP="00ED71C4">
                            <w:pPr>
                              <w:jc w:val="both"/>
                              <w:rPr>
                                <w:rFonts w:ascii="Californian FB" w:hAnsi="Californian FB" w:cstheme="majorHAnsi"/>
                              </w:rPr>
                            </w:pPr>
                            <w:r w:rsidRPr="00811D42">
                              <w:rPr>
                                <w:rFonts w:ascii="Californian FB" w:hAnsi="Californian FB" w:cstheme="majorHAnsi"/>
                              </w:rPr>
                              <w:t>The court seems to suggest that a work is more likely to be transformative if the author uses multiple sources rather than relying on just one.  Does this mean that fair use is more likely if you infringe multiple copyrights at the same time? If the answer is paradoxically “yes,” it is related to the issue of how much the defendant’s work substitutes for the plaintiff’s work or works under the fourth factor in § 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078B1" id="_x0000_s1036" type="#_x0000_t202" style="position:absolute;left:0;text-align:left;margin-left:313.1pt;margin-top:.2pt;width:167.8pt;height:204.3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" fillcolor="#bdd6ee [1300]">
                <v:textbox>
                  <w:txbxContent>
                    <w:p w14:paraId="443ADE76" w14:textId="77777777" w:rsidR="00ED71C4" w:rsidRPr="00931AC8" w:rsidRDefault="00ED71C4" w:rsidP="00ED71C4">
                      <w:pPr>
                        <w:jc w:val="center"/>
                        <w:rPr>
                          <w:rFonts w:ascii="Californian FB" w:hAnsi="Californian FB" w:cstheme="majorHAnsi"/>
                          <w:b/>
                        </w:rPr>
                      </w:pPr>
                      <w:r w:rsidRPr="00931AC8">
                        <w:rPr>
                          <w:rFonts w:ascii="Californian FB" w:hAnsi="Californian FB" w:cstheme="majorHAnsi"/>
                          <w:b/>
                        </w:rPr>
                        <w:t>FOOD FOR THOUGHT</w:t>
                      </w:r>
                    </w:p>
                    <w:p w14:paraId="21753A3F" w14:textId="77777777" w:rsidR="00ED71C4" w:rsidRPr="00811D42" w:rsidRDefault="00ED71C4" w:rsidP="00ED71C4">
                      <w:pPr>
                        <w:jc w:val="both"/>
                        <w:rPr>
                          <w:rFonts w:ascii="Californian FB" w:hAnsi="Californian FB" w:cstheme="majorHAnsi"/>
                        </w:rPr>
                      </w:pPr>
                      <w:r w:rsidRPr="00811D42">
                        <w:rPr>
                          <w:rFonts w:ascii="Californian FB" w:hAnsi="Californian FB" w:cstheme="majorHAnsi"/>
                        </w:rPr>
                        <w:t>The court seems to suggest that a work is more likely to be transformative if the author uses multiple sources rather than relying on just one.  Does this mean that fair use is more likely if you infringe multiple copyrights at the same time? If the answer is paradoxically “yes,” it is related to the issue of how much the defendant’s work substitutes for the plaintiff’s work or works under the fourth factor in § 107?</w:t>
                      </w:r>
                    </w:p>
                  </w:txbxContent>
                </v:textbox>
                <w10:wrap type="square"/>
              </v:shape>
            </w:pict>
          </mc:Fallback>
        </mc:AlternateContent>
      </w:r>
      <w:r w:rsidR="00ED71C4" w:rsidRPr="00A65496">
        <w:rPr>
          <w:rFonts w:ascii="Californian FB" w:hAnsi="Californian FB" w:cs="Times New Roman"/>
          <w:color w:val="000000"/>
          <w:sz w:val="24"/>
          <w:szCs w:val="24"/>
        </w:rPr>
        <w:t> </w:t>
      </w:r>
      <w:bookmarkStart w:id="83" w:name="co_anchor_B122054368247_1"/>
      <w:bookmarkEnd w:id="83"/>
      <w:r w:rsidR="00ED71C4" w:rsidRPr="00A65496">
        <w:rPr>
          <w:rFonts w:ascii="Californian FB" w:hAnsi="Californian FB" w:cs="Times New Roman"/>
          <w:color w:val="000000"/>
          <w:sz w:val="24"/>
          <w:szCs w:val="24"/>
        </w:rPr>
        <w:t xml:space="preserve">A common thread running through these cases is that, where a secondary work does not obviously comment on or relate back to the original or use the original for a purpose other than that for which it was created, the bare assertion of a “higher or different artistic use,” </w:t>
      </w:r>
      <w:hyperlink r:id="rId150" w:anchor="co_pp_sp_350_310" w:history="1">
        <w:r w:rsidR="00ED71C4" w:rsidRPr="00A65496">
          <w:rPr>
            <w:rFonts w:ascii="Californian FB" w:hAnsi="Californian FB" w:cs="Times New Roman"/>
            <w:i/>
            <w:iCs/>
            <w:color w:val="000000"/>
            <w:sz w:val="24"/>
            <w:szCs w:val="24"/>
          </w:rPr>
          <w:t>Rogers</w:t>
        </w:r>
        <w:r w:rsidR="00ED71C4" w:rsidRPr="00A65496">
          <w:rPr>
            <w:rFonts w:ascii="Californian FB" w:hAnsi="Californian FB" w:cs="Times New Roman"/>
            <w:color w:val="000000"/>
            <w:sz w:val="24"/>
            <w:szCs w:val="24"/>
          </w:rPr>
          <w:t>, 960 F.2d at 310</w:t>
        </w:r>
      </w:hyperlink>
      <w:r w:rsidR="00ED71C4" w:rsidRPr="00A65496">
        <w:rPr>
          <w:rFonts w:ascii="Californian FB" w:hAnsi="Californian FB" w:cs="Times New Roman"/>
          <w:color w:val="000000"/>
          <w:sz w:val="24"/>
          <w:szCs w:val="24"/>
        </w:rPr>
        <w:t>, is insufficient to render a work transformative. Rather, the secondary work itself must reasonably be perceived as embodying a distinct artistic purpose, one that conveys a new meaning or message separate from its source material. While we cannot, nor do we attempt to, catalog all of the ways in which an artist may achieve that end, we note that the works that have done so thus far have themselves been distinct works of art that draw from numerous sources, rather than works that simply alter or recast a single work with a new aesthetic.</w:t>
      </w:r>
    </w:p>
    <w:p w14:paraId="70B3196D"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Which brings us back to the Prince Series. The district court held that the Prince Series works are transformative because they “can reasonably be perceived to have transformed Prince from a vulnerable, uncomfortable person to an iconic, larger-than-life figure.” </w:t>
      </w:r>
      <w:hyperlink r:id="rId151" w:anchor="co_pp_sp_7903_326" w:history="1">
        <w:r w:rsidRPr="00A65496">
          <w:rPr>
            <w:rFonts w:ascii="Californian FB" w:hAnsi="Californian FB" w:cs="Times New Roman"/>
            <w:i/>
            <w:iCs/>
            <w:color w:val="000000"/>
            <w:sz w:val="24"/>
            <w:szCs w:val="24"/>
          </w:rPr>
          <w:t>Warhol</w:t>
        </w:r>
        <w:r w:rsidRPr="00A65496">
          <w:rPr>
            <w:rFonts w:ascii="Californian FB" w:hAnsi="Californian FB" w:cs="Times New Roman"/>
            <w:color w:val="000000"/>
            <w:sz w:val="24"/>
            <w:szCs w:val="24"/>
          </w:rPr>
          <w:t>, 382 F. Supp. 3d at 326</w:t>
        </w:r>
      </w:hyperlink>
      <w:r w:rsidRPr="00A65496">
        <w:rPr>
          <w:rFonts w:ascii="Californian FB" w:hAnsi="Californian FB" w:cs="Times New Roman"/>
          <w:color w:val="000000"/>
          <w:sz w:val="24"/>
          <w:szCs w:val="24"/>
        </w:rPr>
        <w:t>. That was error.</w:t>
      </w:r>
    </w:p>
    <w:p w14:paraId="21E35573"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Though it may well have been Goldsmith’s subjective intent to portray Prince as a “vulnerable human being” and Warhol’s to strip Prince of that humanity and instead display him as a popular icon, whether a work is transformative cannot turn merely on the stated or perceived intent of the artist or the meaning or impression that a critic – or for that matter, a judge – draws from the work. Were it otherwise, the law may well “</w:t>
      </w:r>
      <w:proofErr w:type="spellStart"/>
      <w:r w:rsidRPr="00A65496">
        <w:rPr>
          <w:rFonts w:ascii="Californian FB" w:hAnsi="Californian FB" w:cs="Times New Roman"/>
          <w:color w:val="000000"/>
          <w:sz w:val="24"/>
          <w:szCs w:val="24"/>
        </w:rPr>
        <w:t>recogniz</w:t>
      </w:r>
      <w:proofErr w:type="spellEnd"/>
      <w:r w:rsidRPr="00A65496">
        <w:rPr>
          <w:rFonts w:ascii="Californian FB" w:hAnsi="Californian FB" w:cs="Times New Roman"/>
          <w:color w:val="000000"/>
          <w:sz w:val="24"/>
          <w:szCs w:val="24"/>
        </w:rPr>
        <w:t xml:space="preserve">[e] any alteration as transformative.” 4 Melville B. </w:t>
      </w:r>
      <w:proofErr w:type="spellStart"/>
      <w:r w:rsidRPr="00A65496">
        <w:rPr>
          <w:rFonts w:ascii="Californian FB" w:hAnsi="Californian FB" w:cs="Times New Roman"/>
          <w:color w:val="000000"/>
          <w:sz w:val="24"/>
          <w:szCs w:val="24"/>
        </w:rPr>
        <w:t>Nimmer</w:t>
      </w:r>
      <w:proofErr w:type="spellEnd"/>
      <w:r w:rsidRPr="00A65496">
        <w:rPr>
          <w:rFonts w:ascii="Californian FB" w:hAnsi="Californian FB" w:cs="Times New Roman"/>
          <w:color w:val="000000"/>
          <w:sz w:val="24"/>
          <w:szCs w:val="24"/>
        </w:rPr>
        <w:t xml:space="preserve"> &amp; David </w:t>
      </w:r>
      <w:proofErr w:type="spellStart"/>
      <w:r w:rsidRPr="00A65496">
        <w:rPr>
          <w:rFonts w:ascii="Californian FB" w:hAnsi="Californian FB" w:cs="Times New Roman"/>
          <w:color w:val="000000"/>
          <w:sz w:val="24"/>
          <w:szCs w:val="24"/>
        </w:rPr>
        <w:t>Nimmer</w:t>
      </w:r>
      <w:proofErr w:type="spellEnd"/>
      <w:r w:rsidRPr="00A65496">
        <w:rPr>
          <w:rFonts w:ascii="Californian FB" w:hAnsi="Californian FB" w:cs="Times New Roman"/>
          <w:color w:val="000000"/>
          <w:sz w:val="24"/>
          <w:szCs w:val="24"/>
        </w:rPr>
        <w:t xml:space="preserve">, </w:t>
      </w:r>
      <w:proofErr w:type="spellStart"/>
      <w:r w:rsidRPr="00A65496">
        <w:rPr>
          <w:rFonts w:ascii="Californian FB" w:hAnsi="Californian FB" w:cs="Times New Roman"/>
          <w:i/>
          <w:iCs/>
          <w:color w:val="000000"/>
          <w:sz w:val="24"/>
          <w:szCs w:val="24"/>
        </w:rPr>
        <w:t>Nimmer</w:t>
      </w:r>
      <w:proofErr w:type="spellEnd"/>
      <w:r w:rsidRPr="00A65496">
        <w:rPr>
          <w:rFonts w:ascii="Californian FB" w:hAnsi="Californian FB" w:cs="Times New Roman"/>
          <w:i/>
          <w:iCs/>
          <w:color w:val="000000"/>
          <w:sz w:val="24"/>
          <w:szCs w:val="24"/>
        </w:rPr>
        <w:t xml:space="preserve"> on Copyright</w:t>
      </w:r>
      <w:r w:rsidRPr="00A65496">
        <w:rPr>
          <w:rFonts w:ascii="Californian FB" w:hAnsi="Californian FB" w:cs="Times New Roman"/>
          <w:color w:val="000000"/>
          <w:sz w:val="24"/>
          <w:szCs w:val="24"/>
        </w:rPr>
        <w:t xml:space="preserve"> § </w:t>
      </w:r>
      <w:proofErr w:type="gramStart"/>
      <w:r w:rsidRPr="00A65496">
        <w:rPr>
          <w:rFonts w:ascii="Californian FB" w:hAnsi="Californian FB" w:cs="Times New Roman"/>
          <w:color w:val="000000"/>
          <w:sz w:val="24"/>
          <w:szCs w:val="24"/>
        </w:rPr>
        <w:t>13.05(B)(6).</w:t>
      </w:r>
      <w:proofErr w:type="gramEnd"/>
    </w:p>
    <w:p w14:paraId="2951D127"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In conducting this inquiry, however, the district judge should not assume the role of art critic and seek to ascertain the intent behind or meaning of the works at issue. That is so both because judges are typically unsuited to make aesthetic judgments and because such perceptions are</w:t>
      </w:r>
      <w:bookmarkStart w:id="84" w:name="co_pp_sp_8173_42_1"/>
      <w:bookmarkEnd w:id="84"/>
      <w:r w:rsidRPr="00A65496">
        <w:rPr>
          <w:rFonts w:ascii="Californian FB" w:hAnsi="Californian FB" w:cs="Times New Roman"/>
          <w:color w:val="000000"/>
          <w:sz w:val="24"/>
          <w:szCs w:val="24"/>
        </w:rPr>
        <w:t xml:space="preserve"> inherently subjective.</w:t>
      </w:r>
      <w:bookmarkStart w:id="85" w:name="co_fnRef_B00042054368247_ID0EPNAK_1"/>
      <w:bookmarkEnd w:id="85"/>
      <w:r w:rsidRPr="00A65496">
        <w:rPr>
          <w:rFonts w:ascii="Californian FB" w:hAnsi="Californian FB" w:cs="Times New Roman"/>
          <w:color w:val="000000"/>
          <w:sz w:val="24"/>
          <w:szCs w:val="24"/>
        </w:rPr>
        <w:t xml:space="preserve"> As Goldsmith argues, her own stated intent notwithstanding, “an audience viewing the [Goldsmith] [P]</w:t>
      </w:r>
      <w:proofErr w:type="spellStart"/>
      <w:r w:rsidRPr="00A65496">
        <w:rPr>
          <w:rFonts w:ascii="Californian FB" w:hAnsi="Californian FB" w:cs="Times New Roman"/>
          <w:color w:val="000000"/>
          <w:sz w:val="24"/>
          <w:szCs w:val="24"/>
        </w:rPr>
        <w:t>hotograph</w:t>
      </w:r>
      <w:proofErr w:type="spellEnd"/>
      <w:r w:rsidRPr="00A65496">
        <w:rPr>
          <w:rFonts w:ascii="Californian FB" w:hAnsi="Californian FB" w:cs="Times New Roman"/>
          <w:color w:val="000000"/>
          <w:sz w:val="24"/>
          <w:szCs w:val="24"/>
        </w:rPr>
        <w:t xml:space="preserve"> today, across the vista of the singer’s long career, might well see him in a different light than Goldsmith saw him that day in 1981.” Appellants’ Br. at 40. We agree; it is easy to imagine that a whole generation of Prince’s fans might have trouble seeing the Goldsmith Photograph as depicting anything other than the iconic songwriter and performer whose musical </w:t>
      </w:r>
      <w:proofErr w:type="gramStart"/>
      <w:r w:rsidRPr="00A65496">
        <w:rPr>
          <w:rFonts w:ascii="Californian FB" w:hAnsi="Californian FB" w:cs="Times New Roman"/>
          <w:color w:val="000000"/>
          <w:sz w:val="24"/>
          <w:szCs w:val="24"/>
        </w:rPr>
        <w:t>works</w:t>
      </w:r>
      <w:proofErr w:type="gramEnd"/>
      <w:r w:rsidRPr="00A65496">
        <w:rPr>
          <w:rFonts w:ascii="Californian FB" w:hAnsi="Californian FB" w:cs="Times New Roman"/>
          <w:color w:val="000000"/>
          <w:sz w:val="24"/>
          <w:szCs w:val="24"/>
        </w:rPr>
        <w:t xml:space="preserve"> they enjoy and admire.</w:t>
      </w:r>
    </w:p>
    <w:p w14:paraId="42D19DBC"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86" w:name="co_anchor_B132054368247_1"/>
      <w:bookmarkStart w:id="87" w:name="co_anchor_B142054368247_1"/>
      <w:bookmarkEnd w:id="86"/>
      <w:bookmarkEnd w:id="87"/>
      <w:r w:rsidRPr="00A65496">
        <w:rPr>
          <w:rFonts w:ascii="Californian FB" w:hAnsi="Californian FB" w:cs="Times New Roman"/>
          <w:color w:val="000000"/>
          <w:sz w:val="24"/>
          <w:szCs w:val="24"/>
        </w:rPr>
        <w:t xml:space="preserve">Instead, the judge must examine whether the secondary work’s use of its source material is in service of a “fundamentally different and new” artistic purpose and character, such that the secondary work stands apart from the “raw material” used to create it. </w:t>
      </w:r>
      <w:hyperlink r:id="rId152" w:anchor="co_pp_sp_506_706"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color w:val="000000"/>
            <w:sz w:val="24"/>
            <w:szCs w:val="24"/>
          </w:rPr>
          <w:t>, 714 F.3d at 706</w:t>
        </w:r>
      </w:hyperlink>
      <w:r w:rsidRPr="00A65496">
        <w:rPr>
          <w:rFonts w:ascii="Californian FB" w:hAnsi="Californian FB" w:cs="Times New Roman"/>
          <w:color w:val="000000"/>
          <w:sz w:val="24"/>
          <w:szCs w:val="24"/>
        </w:rPr>
        <w:t xml:space="preserve"> (internal quotation marks omitted). Although we do not hold that the primary work must be “barely recognizable” within the secondary work, as was the case with the works held transformative in </w:t>
      </w:r>
      <w:hyperlink r:id="rId153" w:anchor="co_pp_sp_506_710"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xml:space="preserve">, </w:t>
      </w:r>
      <w:hyperlink r:id="rId154" w:anchor="co_pp_sp_506_710" w:history="1">
        <w:r w:rsidRPr="00A65496">
          <w:rPr>
            <w:rFonts w:ascii="Californian FB" w:hAnsi="Californian FB" w:cs="Times New Roman"/>
            <w:i/>
            <w:iCs/>
            <w:color w:val="000000"/>
            <w:sz w:val="24"/>
            <w:szCs w:val="24"/>
          </w:rPr>
          <w:t>id</w:t>
        </w:r>
        <w:r w:rsidRPr="00A65496">
          <w:rPr>
            <w:rFonts w:ascii="Californian FB" w:hAnsi="Californian FB" w:cs="Times New Roman"/>
            <w:color w:val="000000"/>
            <w:sz w:val="24"/>
            <w:szCs w:val="24"/>
          </w:rPr>
          <w:t>. at 710</w:t>
        </w:r>
      </w:hyperlink>
      <w:r w:rsidRPr="00A65496">
        <w:rPr>
          <w:rFonts w:ascii="Californian FB" w:hAnsi="Californian FB" w:cs="Times New Roman"/>
          <w:color w:val="000000"/>
          <w:sz w:val="24"/>
          <w:szCs w:val="24"/>
        </w:rPr>
        <w:t>, the secondary work’s transformative purpose and character must, at a bare minimum, comprise something more than the imposition of another artist’s style on the primary work such that the secondary work remains both recognizably deriving from, and retaining the essential elements of, its source material.</w:t>
      </w:r>
    </w:p>
    <w:p w14:paraId="7E9D0398" w14:textId="171E685B" w:rsidR="00ED71C4" w:rsidRPr="00A65496" w:rsidRDefault="00811D42"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9856ED">
        <w:rPr>
          <w:rFonts w:ascii="Californian FB" w:hAnsi="Californian FB" w:cs="Times New Roman"/>
          <w:noProof/>
          <w:color w:val="000000"/>
          <w:sz w:val="24"/>
          <w:szCs w:val="24"/>
        </w:rPr>
        <w:lastRenderedPageBreak/>
        <mc:AlternateContent>
          <mc:Choice Requires="wps">
            <w:drawing>
              <wp:anchor distT="45720" distB="45720" distL="114300" distR="114300" simplePos="0" relativeHeight="251753472" behindDoc="0" locked="0" layoutInCell="1" allowOverlap="1" wp14:anchorId="075F9A82" wp14:editId="39764F00">
                <wp:simplePos x="0" y="0"/>
                <wp:positionH relativeFrom="column">
                  <wp:posOffset>3709987</wp:posOffset>
                </wp:positionH>
                <wp:positionV relativeFrom="paragraph">
                  <wp:posOffset>43180</wp:posOffset>
                </wp:positionV>
                <wp:extent cx="2212340" cy="1404620"/>
                <wp:effectExtent l="0" t="0" r="16510" b="1651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4620"/>
                        </a:xfrm>
                        <a:prstGeom prst="rect">
                          <a:avLst/>
                        </a:prstGeom>
                        <a:solidFill>
                          <a:schemeClr val="accent1">
                            <a:lumMod val="20000"/>
                            <a:lumOff val="80000"/>
                          </a:schemeClr>
                        </a:solidFill>
                        <a:ln w="9525">
                          <a:solidFill>
                            <a:srgbClr val="000000"/>
                          </a:solidFill>
                          <a:miter lim="800000"/>
                          <a:headEnd/>
                          <a:tailEnd/>
                        </a:ln>
                      </wps:spPr>
                      <wps:txbx>
                        <w:txbxContent>
                          <w:p w14:paraId="29485383" w14:textId="77777777" w:rsidR="00ED71C4" w:rsidRPr="00931AC8" w:rsidRDefault="00ED71C4" w:rsidP="00ED71C4">
                            <w:pPr>
                              <w:jc w:val="center"/>
                              <w:rPr>
                                <w:rFonts w:ascii="Californian FB" w:hAnsi="Californian FB"/>
                              </w:rPr>
                            </w:pPr>
                            <w:r w:rsidRPr="00931AC8">
                              <w:rPr>
                                <w:rFonts w:ascii="Californian FB" w:hAnsi="Californian FB"/>
                              </w:rPr>
                              <w:t>GO ONLINE</w:t>
                            </w:r>
                          </w:p>
                          <w:p w14:paraId="56B88D26" w14:textId="77777777" w:rsidR="00ED71C4" w:rsidRPr="00931AC8" w:rsidRDefault="00ED71C4" w:rsidP="00ED71C4">
                            <w:pPr>
                              <w:jc w:val="both"/>
                              <w:rPr>
                                <w:rFonts w:ascii="Californian FB" w:hAnsi="Californian FB"/>
                                <w:sz w:val="20"/>
                                <w:szCs w:val="20"/>
                              </w:rPr>
                            </w:pPr>
                            <w:r w:rsidRPr="00931AC8">
                              <w:rPr>
                                <w:rFonts w:ascii="Californian FB" w:hAnsi="Californian FB"/>
                                <w:sz w:val="20"/>
                                <w:szCs w:val="20"/>
                              </w:rPr>
                              <w:t>The reference here is to a 1920 novel about two sisters living in England in the period before World War I, and two local men with whom they become romantically involved.  The movie version dates from 1969 and secured a Best Actress Oscar for Glenda Jackson and a nomination for R</w:t>
                            </w:r>
                            <w:r w:rsidRPr="00CA0371">
                              <w:rPr>
                                <w:rFonts w:ascii="Californian FB" w:hAnsi="Californian FB"/>
                                <w:sz w:val="20"/>
                                <w:szCs w:val="20"/>
                              </w:rPr>
                              <w:t xml:space="preserve">ussell in the </w:t>
                            </w:r>
                            <w:r>
                              <w:rPr>
                                <w:rFonts w:ascii="Californian FB" w:hAnsi="Californian FB"/>
                                <w:sz w:val="20"/>
                                <w:szCs w:val="20"/>
                              </w:rPr>
                              <w:t>B</w:t>
                            </w:r>
                            <w:r w:rsidRPr="00CA0371">
                              <w:rPr>
                                <w:rFonts w:ascii="Californian FB" w:hAnsi="Californian FB"/>
                                <w:sz w:val="20"/>
                                <w:szCs w:val="20"/>
                              </w:rPr>
                              <w:t xml:space="preserve">est </w:t>
                            </w:r>
                            <w:r>
                              <w:rPr>
                                <w:rFonts w:ascii="Californian FB" w:hAnsi="Californian FB"/>
                                <w:sz w:val="20"/>
                                <w:szCs w:val="20"/>
                              </w:rPr>
                              <w:t>D</w:t>
                            </w:r>
                            <w:r w:rsidRPr="00931AC8">
                              <w:rPr>
                                <w:rFonts w:ascii="Californian FB" w:hAnsi="Californian FB"/>
                                <w:sz w:val="20"/>
                                <w:szCs w:val="20"/>
                              </w:rPr>
                              <w:t xml:space="preserve">irector category. Numerous clips from the movie are available on YouTube.  If you’d like to enjoy a scene of Glenda Jackson dancing with cattle, you can </w:t>
                            </w:r>
                            <w:hyperlink r:id="rId155" w:history="1">
                              <w:r w:rsidRPr="00931AC8">
                                <w:rPr>
                                  <w:rStyle w:val="Hyperlink"/>
                                  <w:rFonts w:ascii="Californian FB" w:hAnsi="Californian FB"/>
                                  <w:sz w:val="20"/>
                                  <w:szCs w:val="20"/>
                                </w:rPr>
                                <w:t>click here.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F9A82" id="_x0000_s1037" type="#_x0000_t202" style="position:absolute;left:0;text-align:left;margin-left:292.1pt;margin-top:3.4pt;width:174.2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" fillcolor="#deeaf6 [660]">
                <v:textbox style="mso-fit-shape-to-text:t">
                  <w:txbxContent>
                    <w:p w14:paraId="29485383" w14:textId="77777777" w:rsidR="00ED71C4" w:rsidRPr="00931AC8" w:rsidRDefault="00ED71C4" w:rsidP="00ED71C4">
                      <w:pPr>
                        <w:jc w:val="center"/>
                        <w:rPr>
                          <w:rFonts w:ascii="Californian FB" w:hAnsi="Californian FB"/>
                        </w:rPr>
                      </w:pPr>
                      <w:r w:rsidRPr="00931AC8">
                        <w:rPr>
                          <w:rFonts w:ascii="Californian FB" w:hAnsi="Californian FB"/>
                        </w:rPr>
                        <w:t>GO ONLINE</w:t>
                      </w:r>
                    </w:p>
                    <w:p w14:paraId="56B88D26" w14:textId="77777777" w:rsidR="00ED71C4" w:rsidRPr="00931AC8" w:rsidRDefault="00ED71C4" w:rsidP="00ED71C4">
                      <w:pPr>
                        <w:jc w:val="both"/>
                        <w:rPr>
                          <w:rFonts w:ascii="Californian FB" w:hAnsi="Californian FB"/>
                          <w:sz w:val="20"/>
                          <w:szCs w:val="20"/>
                        </w:rPr>
                      </w:pPr>
                      <w:r w:rsidRPr="00931AC8">
                        <w:rPr>
                          <w:rFonts w:ascii="Californian FB" w:hAnsi="Californian FB"/>
                          <w:sz w:val="20"/>
                          <w:szCs w:val="20"/>
                        </w:rPr>
                        <w:t>The reference here is to a 1920 novel about two sisters living in England in the period before World War I, and two local men with whom they become romantically involved.  The movie version dates from 1969 and secured a Best Actress Oscar for Glenda Jackson and a nomination for R</w:t>
                      </w:r>
                      <w:r w:rsidRPr="00CA0371">
                        <w:rPr>
                          <w:rFonts w:ascii="Californian FB" w:hAnsi="Californian FB"/>
                          <w:sz w:val="20"/>
                          <w:szCs w:val="20"/>
                        </w:rPr>
                        <w:t xml:space="preserve">ussell in the </w:t>
                      </w:r>
                      <w:r>
                        <w:rPr>
                          <w:rFonts w:ascii="Californian FB" w:hAnsi="Californian FB"/>
                          <w:sz w:val="20"/>
                          <w:szCs w:val="20"/>
                        </w:rPr>
                        <w:t>B</w:t>
                      </w:r>
                      <w:r w:rsidRPr="00CA0371">
                        <w:rPr>
                          <w:rFonts w:ascii="Californian FB" w:hAnsi="Californian FB"/>
                          <w:sz w:val="20"/>
                          <w:szCs w:val="20"/>
                        </w:rPr>
                        <w:t xml:space="preserve">est </w:t>
                      </w:r>
                      <w:r>
                        <w:rPr>
                          <w:rFonts w:ascii="Californian FB" w:hAnsi="Californian FB"/>
                          <w:sz w:val="20"/>
                          <w:szCs w:val="20"/>
                        </w:rPr>
                        <w:t>D</w:t>
                      </w:r>
                      <w:r w:rsidRPr="00931AC8">
                        <w:rPr>
                          <w:rFonts w:ascii="Californian FB" w:hAnsi="Californian FB"/>
                          <w:sz w:val="20"/>
                          <w:szCs w:val="20"/>
                        </w:rPr>
                        <w:t xml:space="preserve">irector category. Numerous clips from the movie are available on YouTube.  If you’d like to enjoy a scene of Glenda Jackson dancing with cattle, you can </w:t>
                      </w:r>
                      <w:hyperlink r:id="rId156" w:history="1">
                        <w:r w:rsidRPr="00931AC8">
                          <w:rPr>
                            <w:rStyle w:val="Hyperlink"/>
                            <w:rFonts w:ascii="Californian FB" w:hAnsi="Californian FB"/>
                            <w:sz w:val="20"/>
                            <w:szCs w:val="20"/>
                          </w:rPr>
                          <w:t>click here.</w:t>
                        </w:r>
                      </w:hyperlink>
                    </w:p>
                  </w:txbxContent>
                </v:textbox>
                <w10:wrap type="square"/>
              </v:shape>
            </w:pict>
          </mc:Fallback>
        </mc:AlternateContent>
      </w:r>
      <w:r w:rsidR="00ED71C4" w:rsidRPr="00A65496">
        <w:rPr>
          <w:rFonts w:ascii="Californian FB" w:hAnsi="Californian FB" w:cs="Times New Roman"/>
          <w:color w:val="000000"/>
          <w:sz w:val="24"/>
          <w:szCs w:val="24"/>
        </w:rPr>
        <w:t> </w:t>
      </w:r>
      <w:bookmarkStart w:id="88" w:name="co_anchor_B152054368247_1"/>
      <w:bookmarkEnd w:id="88"/>
      <w:r w:rsidR="00ED71C4" w:rsidRPr="00A65496">
        <w:rPr>
          <w:rFonts w:ascii="Californian FB" w:hAnsi="Californian FB" w:cs="Times New Roman"/>
          <w:color w:val="000000"/>
          <w:sz w:val="24"/>
          <w:szCs w:val="24"/>
        </w:rPr>
        <w:t xml:space="preserve">With this clarification, viewing the works side-by-side, we conclude that the Prince Series is not “transformative” within the meaning of the first factor. That is not to deny that the Warhol works display the distinct aesthetic sensibility that many would immediately associate with Warhol’s signature style – the elements of which are absent from the Goldsmith photo. But the same can be said, for example, of the Ken Russell film, from a screenplay by Larry Kramer, derived from D.H. Lawrence’s novel, </w:t>
      </w:r>
      <w:r w:rsidR="00ED71C4" w:rsidRPr="00A65496">
        <w:rPr>
          <w:rFonts w:ascii="Californian FB" w:hAnsi="Californian FB" w:cs="Times New Roman"/>
          <w:i/>
          <w:iCs/>
          <w:color w:val="000000"/>
          <w:sz w:val="24"/>
          <w:szCs w:val="24"/>
        </w:rPr>
        <w:t>Women in Love</w:t>
      </w:r>
      <w:r w:rsidR="00ED71C4" w:rsidRPr="00A65496">
        <w:rPr>
          <w:rFonts w:ascii="Californian FB" w:hAnsi="Californian FB" w:cs="Times New Roman"/>
          <w:color w:val="000000"/>
          <w:sz w:val="24"/>
          <w:szCs w:val="24"/>
        </w:rPr>
        <w:t>: the film is as recognizable a “Ken Russell” as the Prince Series are recognizably “</w:t>
      </w:r>
      <w:proofErr w:type="spellStart"/>
      <w:r w:rsidR="00ED71C4" w:rsidRPr="00A65496">
        <w:rPr>
          <w:rFonts w:ascii="Californian FB" w:hAnsi="Californian FB" w:cs="Times New Roman"/>
          <w:color w:val="000000"/>
          <w:sz w:val="24"/>
          <w:szCs w:val="24"/>
        </w:rPr>
        <w:t>Warhols</w:t>
      </w:r>
      <w:proofErr w:type="spellEnd"/>
      <w:r w:rsidR="00ED71C4" w:rsidRPr="00A65496">
        <w:rPr>
          <w:rFonts w:ascii="Californian FB" w:hAnsi="Californian FB" w:cs="Times New Roman"/>
          <w:color w:val="000000"/>
          <w:sz w:val="24"/>
          <w:szCs w:val="24"/>
        </w:rPr>
        <w:t xml:space="preserve">.” But the film, for all the ways in which it transforms (that is, in the ordinary meaning of the word, which indeed is used in the very definition of derivative works, </w:t>
      </w:r>
      <w:r w:rsidR="00ED71C4" w:rsidRPr="00A65496">
        <w:rPr>
          <w:rFonts w:ascii="Californian FB" w:hAnsi="Californian FB" w:cs="Times New Roman"/>
          <w:i/>
          <w:iCs/>
          <w:color w:val="000000"/>
          <w:sz w:val="24"/>
          <w:szCs w:val="24"/>
        </w:rPr>
        <w:t>see</w:t>
      </w:r>
      <w:r w:rsidR="00ED71C4" w:rsidRPr="00A65496">
        <w:rPr>
          <w:rFonts w:ascii="Californian FB" w:hAnsi="Californian FB" w:cs="Times New Roman"/>
          <w:color w:val="000000"/>
          <w:sz w:val="24"/>
          <w:szCs w:val="24"/>
        </w:rPr>
        <w:t xml:space="preserve"> </w:t>
      </w:r>
      <w:hyperlink r:id="rId157" w:history="1">
        <w:r w:rsidR="00ED71C4" w:rsidRPr="00A65496">
          <w:rPr>
            <w:rFonts w:ascii="Californian FB" w:hAnsi="Californian FB" w:cs="Times New Roman"/>
            <w:color w:val="000000"/>
            <w:sz w:val="24"/>
            <w:szCs w:val="24"/>
          </w:rPr>
          <w:t>17 U.S.C. § 101</w:t>
        </w:r>
      </w:hyperlink>
      <w:r w:rsidR="00ED71C4" w:rsidRPr="00A65496">
        <w:rPr>
          <w:rFonts w:ascii="Californian FB" w:hAnsi="Californian FB" w:cs="Times New Roman"/>
          <w:color w:val="000000"/>
          <w:sz w:val="24"/>
          <w:szCs w:val="24"/>
        </w:rPr>
        <w:t>) its source material, is also plainly an adaptation of the Lawrence novel.</w:t>
      </w:r>
      <w:r w:rsidR="00ED71C4">
        <w:rPr>
          <w:rFonts w:ascii="Californian FB" w:hAnsi="Californian FB" w:cs="Times New Roman"/>
          <w:color w:val="000000"/>
          <w:sz w:val="24"/>
          <w:szCs w:val="24"/>
        </w:rPr>
        <w:t xml:space="preserve">  </w:t>
      </w:r>
    </w:p>
    <w:p w14:paraId="689FD74D"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As in the case of such paradigmatically derivative works, there can be no meaningful dispute that the overarching purpose and function of the two works at issue here is identical, not merely in the broad sense that they are created as works of visual art,</w:t>
      </w:r>
      <w:bookmarkStart w:id="89" w:name="co_fnRef_B00052054368247_ID0EFUAK_1"/>
      <w:bookmarkEnd w:id="89"/>
      <w:r w:rsidRPr="00A65496">
        <w:rPr>
          <w:rFonts w:ascii="Californian FB" w:hAnsi="Californian FB" w:cs="Times New Roman"/>
          <w:color w:val="000000"/>
          <w:sz w:val="24"/>
          <w:szCs w:val="24"/>
        </w:rPr>
        <w:t xml:space="preserve"> but also in the narrow but essential sense that they are portraits of the same person</w:t>
      </w:r>
      <w:proofErr w:type="gramStart"/>
      <w:r w:rsidRPr="00A65496">
        <w:rPr>
          <w:rFonts w:ascii="Californian FB" w:hAnsi="Californian FB" w:cs="Times New Roman"/>
          <w:color w:val="000000"/>
          <w:sz w:val="24"/>
          <w:szCs w:val="24"/>
        </w:rPr>
        <w:t>.</w:t>
      </w:r>
      <w:bookmarkStart w:id="90" w:name="co_fnRef_B00062054368247_ID0EMUAK_1"/>
      <w:bookmarkEnd w:id="90"/>
      <w:r>
        <w:rPr>
          <w:rFonts w:ascii="Californian FB" w:hAnsi="Californian FB" w:cs="Times New Roman"/>
          <w:color w:val="000000"/>
          <w:sz w:val="24"/>
          <w:szCs w:val="24"/>
        </w:rPr>
        <w:t xml:space="preserve"> . . .</w:t>
      </w:r>
      <w:proofErr w:type="gramEnd"/>
      <w:r w:rsidRPr="00A65496">
        <w:rPr>
          <w:rFonts w:ascii="Californian FB" w:hAnsi="Californian FB" w:cs="Times New Roman"/>
          <w:color w:val="000000"/>
          <w:sz w:val="24"/>
          <w:szCs w:val="24"/>
        </w:rPr>
        <w:t xml:space="preserve"> Although this observation does not </w:t>
      </w:r>
      <w:r w:rsidRPr="00A65496">
        <w:rPr>
          <w:rFonts w:ascii="Californian FB" w:hAnsi="Californian FB" w:cs="Times New Roman"/>
          <w:i/>
          <w:iCs/>
          <w:color w:val="000000"/>
          <w:sz w:val="24"/>
          <w:szCs w:val="24"/>
        </w:rPr>
        <w:t>per se</w:t>
      </w:r>
      <w:r w:rsidRPr="00A65496">
        <w:rPr>
          <w:rFonts w:ascii="Californian FB" w:hAnsi="Californian FB" w:cs="Times New Roman"/>
          <w:color w:val="000000"/>
          <w:sz w:val="24"/>
          <w:szCs w:val="24"/>
        </w:rPr>
        <w:t xml:space="preserve"> preclude a conclusion that the Prince Series makes fair use of the Goldsmith Photograph, the district court’s conclusion rests significantly on the transformative character of Warhol’s work. But the Prince Series works can’t bear that weight.</w:t>
      </w:r>
    </w:p>
    <w:p w14:paraId="57139331"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bookmarkStart w:id="91" w:name="co_footnote_B00062054368247_1"/>
      <w:bookmarkEnd w:id="91"/>
      <w:r w:rsidRPr="00A65496">
        <w:rPr>
          <w:rFonts w:ascii="Californian FB" w:hAnsi="Californian FB" w:cs="Times New Roman"/>
          <w:color w:val="000000"/>
          <w:sz w:val="24"/>
          <w:szCs w:val="24"/>
        </w:rPr>
        <w:t xml:space="preserve">Warhol created the series chiefly by removing certain elements from the Goldsmith Photograph, such as depth and contrast, and embellishing the flattened images with “loud, unnatural colors.” </w:t>
      </w:r>
      <w:hyperlink r:id="rId158" w:anchor="co_pp_sp_7903_326" w:history="1">
        <w:r w:rsidRPr="00A65496">
          <w:rPr>
            <w:rFonts w:ascii="Californian FB" w:hAnsi="Californian FB" w:cs="Times New Roman"/>
            <w:i/>
            <w:iCs/>
            <w:color w:val="000000"/>
            <w:sz w:val="24"/>
            <w:szCs w:val="24"/>
          </w:rPr>
          <w:t>Warhol</w:t>
        </w:r>
        <w:r w:rsidRPr="00A65496">
          <w:rPr>
            <w:rFonts w:ascii="Californian FB" w:hAnsi="Californian FB" w:cs="Times New Roman"/>
            <w:color w:val="000000"/>
            <w:sz w:val="24"/>
            <w:szCs w:val="24"/>
          </w:rPr>
          <w:t>, 382 F. Supp. 3d at 326</w:t>
        </w:r>
      </w:hyperlink>
      <w:r w:rsidRPr="00A65496">
        <w:rPr>
          <w:rFonts w:ascii="Californian FB" w:hAnsi="Californian FB" w:cs="Times New Roman"/>
          <w:color w:val="000000"/>
          <w:sz w:val="24"/>
          <w:szCs w:val="24"/>
        </w:rPr>
        <w:t xml:space="preserve">. Nonetheless, although we do not conclude that the Prince Series works are necessarily </w:t>
      </w:r>
      <w:r w:rsidRPr="00A65496">
        <w:rPr>
          <w:rFonts w:ascii="Californian FB" w:hAnsi="Californian FB" w:cs="Times New Roman"/>
          <w:i/>
          <w:iCs/>
          <w:color w:val="000000"/>
          <w:sz w:val="24"/>
          <w:szCs w:val="24"/>
        </w:rPr>
        <w:t>derivative</w:t>
      </w:r>
      <w:r w:rsidRPr="00A65496">
        <w:rPr>
          <w:rFonts w:ascii="Californian FB" w:hAnsi="Californian FB" w:cs="Times New Roman"/>
          <w:color w:val="000000"/>
          <w:sz w:val="24"/>
          <w:szCs w:val="24"/>
        </w:rPr>
        <w:t xml:space="preserve"> works as a matter of law, they are much closer to presenting the same work in a different form, that form being a high-contrast </w:t>
      </w:r>
      <w:proofErr w:type="spellStart"/>
      <w:r w:rsidRPr="00A65496">
        <w:rPr>
          <w:rFonts w:ascii="Californian FB" w:hAnsi="Californian FB" w:cs="Times New Roman"/>
          <w:color w:val="000000"/>
          <w:sz w:val="24"/>
          <w:szCs w:val="24"/>
        </w:rPr>
        <w:t>screenprint</w:t>
      </w:r>
      <w:proofErr w:type="spellEnd"/>
      <w:r w:rsidRPr="00A65496">
        <w:rPr>
          <w:rFonts w:ascii="Californian FB" w:hAnsi="Californian FB" w:cs="Times New Roman"/>
          <w:color w:val="000000"/>
          <w:sz w:val="24"/>
          <w:szCs w:val="24"/>
        </w:rPr>
        <w:t>, than they are to being works that make a transformative use of the original. Crucially, the Prince Series retains the essential elements of the Goldsmith Photograph without significantly adding to or altering those elements.</w:t>
      </w:r>
    </w:p>
    <w:p w14:paraId="2502A00F"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t xml:space="preserve"> Indeed, the differences between the Goldsmith Photograph and the Prince Series here are in many respects less substantial than those made to the five works that we could not find transformative as a matter of law in </w:t>
      </w:r>
      <w:hyperlink r:id="rId159" w:history="1">
        <w:proofErr w:type="spellStart"/>
        <w:r w:rsidRPr="00A65496">
          <w:rPr>
            <w:rFonts w:ascii="Californian FB" w:hAnsi="Californian FB" w:cs="Times New Roman"/>
            <w:i/>
            <w:iCs/>
            <w:color w:val="000000"/>
            <w:sz w:val="24"/>
            <w:szCs w:val="24"/>
          </w:rPr>
          <w:t>Cariou</w:t>
        </w:r>
        <w:proofErr w:type="spellEnd"/>
      </w:hyperlink>
      <w:r w:rsidRPr="00A65496">
        <w:rPr>
          <w:rFonts w:ascii="Californian FB" w:hAnsi="Californian FB" w:cs="Times New Roman"/>
          <w:color w:val="000000"/>
          <w:sz w:val="24"/>
          <w:szCs w:val="24"/>
        </w:rPr>
        <w:t xml:space="preserve">. Unlike the Prince Series, those works unmistakably deviated from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original portraiture in a manner that suggested an entirely distinct artistic end; rather than recasting those photographs in a new medium, Richard Prince added material that pulled them in new directions. </w:t>
      </w:r>
      <w:r w:rsidRPr="00A65496">
        <w:rPr>
          <w:rFonts w:ascii="Californian FB" w:hAnsi="Californian FB" w:cs="Times New Roman"/>
          <w:i/>
          <w:iCs/>
          <w:color w:val="000000"/>
          <w:sz w:val="24"/>
          <w:szCs w:val="24"/>
        </w:rPr>
        <w:t>See, e.g.</w:t>
      </w:r>
      <w:r w:rsidRPr="00A65496">
        <w:rPr>
          <w:rFonts w:ascii="Californian FB" w:hAnsi="Californian FB" w:cs="Times New Roman"/>
          <w:color w:val="000000"/>
          <w:sz w:val="24"/>
          <w:szCs w:val="24"/>
        </w:rPr>
        <w:t xml:space="preserve">, </w:t>
      </w:r>
      <w:hyperlink r:id="rId160" w:anchor="co_pp_sp_506_711" w:history="1">
        <w:proofErr w:type="spellStart"/>
        <w:r w:rsidRPr="00A65496">
          <w:rPr>
            <w:rFonts w:ascii="Californian FB" w:hAnsi="Californian FB" w:cs="Times New Roman"/>
            <w:i/>
            <w:iCs/>
            <w:color w:val="000000"/>
            <w:sz w:val="24"/>
            <w:szCs w:val="24"/>
          </w:rPr>
          <w:t>Cariou</w:t>
        </w:r>
        <w:proofErr w:type="spellEnd"/>
        <w:r w:rsidRPr="00A65496">
          <w:rPr>
            <w:rFonts w:ascii="Californian FB" w:hAnsi="Californian FB" w:cs="Times New Roman"/>
            <w:color w:val="000000"/>
            <w:sz w:val="24"/>
            <w:szCs w:val="24"/>
          </w:rPr>
          <w:t>, 714 F.3d at 711</w:t>
        </w:r>
      </w:hyperlink>
      <w:r w:rsidRPr="00A65496">
        <w:rPr>
          <w:rFonts w:ascii="Californian FB" w:hAnsi="Californian FB" w:cs="Times New Roman"/>
          <w:color w:val="000000"/>
          <w:sz w:val="24"/>
          <w:szCs w:val="24"/>
        </w:rPr>
        <w:t xml:space="preserve"> (“Where [</w:t>
      </w:r>
      <w:proofErr w:type="spellStart"/>
      <w:r w:rsidRPr="00A65496">
        <w:rPr>
          <w:rFonts w:ascii="Californian FB" w:hAnsi="Californian FB" w:cs="Times New Roman"/>
          <w:color w:val="000000"/>
          <w:sz w:val="24"/>
          <w:szCs w:val="24"/>
        </w:rPr>
        <w:t>Cariou’s</w:t>
      </w:r>
      <w:proofErr w:type="spellEnd"/>
      <w:r w:rsidRPr="00A65496">
        <w:rPr>
          <w:rFonts w:ascii="Californian FB" w:hAnsi="Californian FB" w:cs="Times New Roman"/>
          <w:color w:val="000000"/>
          <w:sz w:val="24"/>
          <w:szCs w:val="24"/>
        </w:rPr>
        <w:t xml:space="preserve">] photograph presents someone comfortably at home in nature, [Prince’s] </w:t>
      </w:r>
      <w:r w:rsidRPr="00A65496">
        <w:rPr>
          <w:rFonts w:ascii="Californian FB" w:hAnsi="Californian FB" w:cs="Times New Roman"/>
          <w:i/>
          <w:iCs/>
          <w:color w:val="000000"/>
          <w:sz w:val="24"/>
          <w:szCs w:val="24"/>
        </w:rPr>
        <w:t>Graduation</w:t>
      </w:r>
      <w:r w:rsidRPr="00A65496">
        <w:rPr>
          <w:rFonts w:ascii="Californian FB" w:hAnsi="Californian FB" w:cs="Times New Roman"/>
          <w:color w:val="000000"/>
          <w:sz w:val="24"/>
          <w:szCs w:val="24"/>
        </w:rPr>
        <w:t xml:space="preserve"> combines divergent elements to present a sense of discomfort.”). Nevertheless, we could not confidently determine whether those modest alterations “amount[ed] to a substantial transformation of the original work[s] of art such that the new work[s] were transformative,” and remanded the case to the district court to make that determination in the first instance. </w:t>
      </w:r>
      <w:hyperlink r:id="rId161" w:history="1">
        <w:r w:rsidRPr="00A65496">
          <w:rPr>
            <w:rFonts w:ascii="Californian FB" w:hAnsi="Californian FB" w:cs="Times New Roman"/>
            <w:i/>
            <w:iCs/>
            <w:color w:val="000000"/>
            <w:sz w:val="24"/>
            <w:szCs w:val="24"/>
          </w:rPr>
          <w:t>Id.</w:t>
        </w:r>
      </w:hyperlink>
    </w:p>
    <w:p w14:paraId="70C33072" w14:textId="77777777" w:rsidR="00ED71C4" w:rsidRPr="00A65496" w:rsidRDefault="00ED71C4" w:rsidP="00ED71C4">
      <w:pPr>
        <w:widowControl w:val="0"/>
        <w:autoSpaceDE w:val="0"/>
        <w:autoSpaceDN w:val="0"/>
        <w:adjustRightInd w:val="0"/>
        <w:spacing w:after="120"/>
        <w:ind w:firstLine="288"/>
        <w:jc w:val="both"/>
        <w:rPr>
          <w:rFonts w:ascii="Californian FB" w:hAnsi="Californian FB" w:cs="Times New Roman"/>
          <w:color w:val="000000"/>
          <w:sz w:val="24"/>
          <w:szCs w:val="24"/>
        </w:rPr>
      </w:pPr>
      <w:r w:rsidRPr="00A65496">
        <w:rPr>
          <w:rFonts w:ascii="Californian FB" w:hAnsi="Californian FB" w:cs="Times New Roman"/>
          <w:color w:val="000000"/>
          <w:sz w:val="24"/>
          <w:szCs w:val="24"/>
        </w:rPr>
        <w:lastRenderedPageBreak/>
        <w:t> In contrast, the Prince Series retains the essential elements of its source material, and Warhol’s modifications serve chiefly to magnify some elements of that material and minimize others. While the cumulative effect of those alterations may change the Goldsmith Photograph in ways that give a different impression of its subject, the Goldsmith Photograph remains the recognizable foundation upon which the Prince Series is built.</w:t>
      </w:r>
    </w:p>
    <w:p w14:paraId="0B266CD2" w14:textId="77777777" w:rsidR="00ED71C4" w:rsidRDefault="00ED71C4" w:rsidP="00ED71C4">
      <w:pPr>
        <w:widowControl w:val="0"/>
        <w:autoSpaceDE w:val="0"/>
        <w:autoSpaceDN w:val="0"/>
        <w:adjustRightInd w:val="0"/>
        <w:spacing w:after="120" w:line="240" w:lineRule="auto"/>
        <w:jc w:val="center"/>
        <w:rPr>
          <w:rFonts w:ascii="Californian FB" w:hAnsi="Californian FB" w:cs="Times New Roman"/>
          <w:color w:val="000000"/>
          <w:sz w:val="24"/>
          <w:szCs w:val="24"/>
        </w:rPr>
      </w:pPr>
      <w:r w:rsidRPr="00FE50DB">
        <w:rPr>
          <w:rFonts w:ascii="Californian FB" w:hAnsi="Californian FB" w:cs="Times New Roman"/>
          <w:color w:val="000000"/>
          <w:sz w:val="24"/>
          <w:szCs w:val="24"/>
        </w:rPr>
        <w:t>*</w:t>
      </w:r>
      <w:r>
        <w:rPr>
          <w:rFonts w:ascii="Californian FB" w:hAnsi="Californian FB" w:cs="Times New Roman"/>
          <w:color w:val="000000"/>
          <w:sz w:val="24"/>
          <w:szCs w:val="24"/>
        </w:rPr>
        <w:t xml:space="preserve"> </w:t>
      </w:r>
      <w:r w:rsidRPr="00FE50DB">
        <w:rPr>
          <w:rFonts w:ascii="Californian FB" w:hAnsi="Californian FB" w:cs="Times New Roman"/>
          <w:color w:val="000000"/>
          <w:sz w:val="24"/>
          <w:szCs w:val="24"/>
        </w:rPr>
        <w:t>* * *</w:t>
      </w:r>
    </w:p>
    <w:p w14:paraId="5C295AE0" w14:textId="77777777" w:rsidR="00ED71C4" w:rsidRDefault="00ED71C4" w:rsidP="00ED71C4">
      <w:pPr>
        <w:widowControl w:val="0"/>
        <w:autoSpaceDE w:val="0"/>
        <w:autoSpaceDN w:val="0"/>
        <w:adjustRightInd w:val="0"/>
        <w:spacing w:after="120"/>
        <w:jc w:val="center"/>
        <w:rPr>
          <w:rFonts w:ascii="Californian FB" w:hAnsi="Californian FB" w:cs="Times New Roman"/>
          <w:b/>
          <w:bCs/>
          <w:color w:val="000000"/>
          <w:sz w:val="24"/>
          <w:szCs w:val="24"/>
        </w:rPr>
      </w:pPr>
      <w:bookmarkStart w:id="92" w:name="co_anchor_I7a9b52c1a77311ec8ff3ca54c77b0"/>
      <w:bookmarkStart w:id="93" w:name="co_anchor_B162054368247_1"/>
      <w:bookmarkStart w:id="94" w:name="co_anchor_B172054368247_1"/>
      <w:bookmarkStart w:id="95" w:name="co_anchor_I7a9eae21a77311ec8ff3ca54c77b0"/>
      <w:bookmarkStart w:id="96" w:name="co_anchor_B192054368247_1"/>
      <w:bookmarkStart w:id="97" w:name="co_anchor_B202054368247_1"/>
      <w:bookmarkStart w:id="98" w:name="co_anchor_I7aa0a9f1a77311ec8ff3ca54c77b0"/>
      <w:bookmarkStart w:id="99" w:name="co_anchor_B222054368247_1"/>
      <w:bookmarkStart w:id="100" w:name="co_fnRef_B00092054368247_ID0ET4BK_1"/>
      <w:bookmarkStart w:id="101" w:name="co_anchor_B252054368247_1"/>
      <w:bookmarkStart w:id="102" w:name="co_fnRef_B00102054368247_ID0ESDCK_1"/>
      <w:bookmarkStart w:id="103" w:name="co_pp_sp_8173_48_1"/>
      <w:bookmarkStart w:id="104" w:name="co_anchor_I7aa8e751a77311ec8ff3ca54c77b0"/>
      <w:bookmarkStart w:id="105" w:name="co_anchor_B262054368247_1"/>
      <w:bookmarkStart w:id="106" w:name="co_anchor_B272054368247_1"/>
      <w:bookmarkStart w:id="107" w:name="co_anchor_B282054368247_1"/>
      <w:bookmarkStart w:id="108" w:name="co_anchor_B292054368247_1"/>
      <w:bookmarkStart w:id="109" w:name="co_pp_sp_8173_49_1"/>
      <w:bookmarkStart w:id="110" w:name="co_anchor_B302054368247_1"/>
      <w:bookmarkStart w:id="111" w:name="co_anchor_B312054368247_1"/>
      <w:bookmarkStart w:id="112" w:name="co_fnRef_B00122054368247_ID0EO2CK_1"/>
      <w:bookmarkStart w:id="113" w:name="co_fnRef_B00132054368247_ID0EZ6CK_1"/>
      <w:bookmarkStart w:id="114" w:name="co_anchor_B322054368247_1"/>
      <w:bookmarkStart w:id="115" w:name="co_anchor_I7ab34791a77311ec8ff3ca54c77b0"/>
      <w:bookmarkStart w:id="116" w:name="co_anchor_I7ab40ae1a77311ec8ff3ca54c77b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ascii="Californian FB" w:hAnsi="Californian FB" w:cs="Times New Roman"/>
          <w:b/>
          <w:bCs/>
          <w:color w:val="000000"/>
          <w:sz w:val="24"/>
          <w:szCs w:val="24"/>
        </w:rPr>
        <w:t>Questions and Comments</w:t>
      </w:r>
    </w:p>
    <w:p w14:paraId="3990321F" w14:textId="77777777" w:rsidR="00ED71C4" w:rsidRPr="00796A51" w:rsidRDefault="00ED71C4"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b/>
          <w:bCs/>
          <w:color w:val="000000"/>
          <w:sz w:val="24"/>
          <w:szCs w:val="24"/>
        </w:rPr>
      </w:pPr>
      <w:r>
        <w:rPr>
          <w:rFonts w:ascii="Californian FB" w:hAnsi="Californian FB" w:cs="Times New Roman"/>
          <w:b/>
          <w:bCs/>
          <w:color w:val="000000"/>
          <w:sz w:val="24"/>
          <w:szCs w:val="24"/>
        </w:rPr>
        <w:t xml:space="preserve">Transformation as Use for a Different Purpose vs. </w:t>
      </w:r>
      <w:r w:rsidRPr="001654EB">
        <w:rPr>
          <w:rFonts w:ascii="Californian FB" w:hAnsi="Californian FB" w:cs="Times New Roman"/>
          <w:b/>
          <w:bCs/>
          <w:color w:val="000000"/>
          <w:sz w:val="24"/>
          <w:szCs w:val="24"/>
        </w:rPr>
        <w:t>Physical Transformation</w:t>
      </w:r>
      <w:r>
        <w:rPr>
          <w:rFonts w:ascii="Californian FB" w:hAnsi="Californian FB" w:cs="Times New Roman"/>
          <w:b/>
          <w:bCs/>
          <w:color w:val="000000"/>
          <w:sz w:val="24"/>
          <w:szCs w:val="24"/>
        </w:rPr>
        <w:t xml:space="preserve">.  </w:t>
      </w:r>
      <w:r>
        <w:rPr>
          <w:rFonts w:ascii="Californian FB" w:hAnsi="Californian FB" w:cs="Times New Roman"/>
          <w:color w:val="000000"/>
          <w:sz w:val="24"/>
          <w:szCs w:val="24"/>
        </w:rPr>
        <w:t xml:space="preserve">The Second Circuit has arguably developed a “two-step” test for </w:t>
      </w:r>
      <w:proofErr w:type="spellStart"/>
      <w:r>
        <w:rPr>
          <w:rFonts w:ascii="Californian FB" w:hAnsi="Californian FB" w:cs="Times New Roman"/>
          <w:color w:val="000000"/>
          <w:sz w:val="24"/>
          <w:szCs w:val="24"/>
        </w:rPr>
        <w:t>transformativeness</w:t>
      </w:r>
      <w:proofErr w:type="spellEnd"/>
      <w:r>
        <w:rPr>
          <w:rFonts w:ascii="Californian FB" w:hAnsi="Californian FB" w:cs="Times New Roman"/>
          <w:color w:val="000000"/>
          <w:sz w:val="24"/>
          <w:szCs w:val="24"/>
        </w:rPr>
        <w:t xml:space="preserve">. </w:t>
      </w:r>
      <w:r w:rsidRPr="00E732CF">
        <w:rPr>
          <w:rFonts w:ascii="Californian FB" w:hAnsi="Californian FB" w:cs="Times New Roman"/>
          <w:color w:val="000000"/>
          <w:sz w:val="24"/>
          <w:szCs w:val="24"/>
        </w:rPr>
        <w:t>First</w:t>
      </w:r>
      <w:r>
        <w:rPr>
          <w:rFonts w:ascii="Californian FB" w:hAnsi="Californian FB" w:cs="Times New Roman"/>
          <w:color w:val="000000"/>
          <w:sz w:val="24"/>
          <w:szCs w:val="24"/>
        </w:rPr>
        <w:t>, it asks</w:t>
      </w:r>
      <w:r w:rsidRPr="00E732CF">
        <w:rPr>
          <w:rFonts w:ascii="Californian FB" w:hAnsi="Californian FB" w:cs="Times New Roman"/>
          <w:color w:val="000000"/>
          <w:sz w:val="24"/>
          <w:szCs w:val="24"/>
        </w:rPr>
        <w:t xml:space="preserve"> if the alleged infringer is using their work for a different purpose than the purpose the original author was pursuing.  If so, the degree of physical transformation need only be modest, or perhaps even zero, for fair use to apply. </w:t>
      </w:r>
      <w:r>
        <w:rPr>
          <w:rFonts w:ascii="Californian FB" w:hAnsi="Californian FB" w:cs="Times New Roman"/>
          <w:color w:val="000000"/>
          <w:sz w:val="24"/>
          <w:szCs w:val="24"/>
        </w:rPr>
        <w:t xml:space="preserve">That explains the results in </w:t>
      </w:r>
      <w:r w:rsidRPr="00047837">
        <w:rPr>
          <w:rFonts w:ascii="Californian FB" w:hAnsi="Californian FB" w:cs="Times New Roman"/>
          <w:i/>
          <w:iCs/>
          <w:color w:val="000000"/>
          <w:sz w:val="24"/>
          <w:szCs w:val="24"/>
        </w:rPr>
        <w:t>Dorling Kindersley</w:t>
      </w:r>
      <w:r w:rsidRPr="00047837">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(where the defendants </w:t>
      </w:r>
      <w:r w:rsidRPr="00047837">
        <w:rPr>
          <w:rFonts w:ascii="Californian FB" w:hAnsi="Californian FB" w:cs="Times New Roman"/>
          <w:color w:val="000000"/>
          <w:sz w:val="24"/>
          <w:szCs w:val="24"/>
        </w:rPr>
        <w:t>copied entire Grateful Dead posters</w:t>
      </w:r>
      <w:r>
        <w:rPr>
          <w:rFonts w:ascii="Californian FB" w:hAnsi="Californian FB" w:cs="Times New Roman"/>
          <w:color w:val="000000"/>
          <w:sz w:val="24"/>
          <w:szCs w:val="24"/>
        </w:rPr>
        <w:t xml:space="preserve">, but to </w:t>
      </w:r>
      <w:r w:rsidRPr="00047837">
        <w:rPr>
          <w:rFonts w:ascii="Californian FB" w:hAnsi="Californian FB" w:cs="Times New Roman"/>
          <w:color w:val="000000"/>
          <w:sz w:val="24"/>
          <w:szCs w:val="24"/>
        </w:rPr>
        <w:t>document history rather than to advertise concerts</w:t>
      </w:r>
      <w:r>
        <w:rPr>
          <w:rFonts w:ascii="Californian FB" w:hAnsi="Californian FB" w:cs="Times New Roman"/>
          <w:color w:val="000000"/>
          <w:sz w:val="24"/>
          <w:szCs w:val="24"/>
        </w:rPr>
        <w:t xml:space="preserve">), and in </w:t>
      </w:r>
      <w:proofErr w:type="spellStart"/>
      <w:r w:rsidRPr="00047837">
        <w:rPr>
          <w:rFonts w:ascii="Californian FB" w:hAnsi="Californian FB" w:cs="Times New Roman"/>
          <w:i/>
          <w:iCs/>
          <w:color w:val="000000"/>
          <w:sz w:val="24"/>
          <w:szCs w:val="24"/>
        </w:rPr>
        <w:t>HathiTrust</w:t>
      </w:r>
      <w:proofErr w:type="spellEnd"/>
      <w:r w:rsidRPr="00047837">
        <w:rPr>
          <w:rFonts w:ascii="Californian FB" w:hAnsi="Californian FB" w:cs="Times New Roman"/>
          <w:color w:val="000000"/>
          <w:sz w:val="24"/>
          <w:szCs w:val="24"/>
        </w:rPr>
        <w:t xml:space="preserve"> and </w:t>
      </w:r>
      <w:r w:rsidRPr="00047837">
        <w:rPr>
          <w:rFonts w:ascii="Californian FB" w:hAnsi="Californian FB" w:cs="Times New Roman"/>
          <w:i/>
          <w:iCs/>
          <w:color w:val="000000"/>
          <w:sz w:val="24"/>
          <w:szCs w:val="24"/>
        </w:rPr>
        <w:t>Authors Guild v. Google</w:t>
      </w:r>
      <w:r w:rsidRPr="00047837">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(where the defendants </w:t>
      </w:r>
      <w:r w:rsidRPr="00047837">
        <w:rPr>
          <w:rFonts w:ascii="Californian FB" w:hAnsi="Californian FB" w:cs="Times New Roman"/>
          <w:color w:val="000000"/>
          <w:sz w:val="24"/>
          <w:szCs w:val="24"/>
        </w:rPr>
        <w:t>copied entire books, but to allow full-text searching, text corpus research, and text-to-speech conversion for the visually impaired, not to present the original text in full</w:t>
      </w:r>
      <w:r>
        <w:rPr>
          <w:rFonts w:ascii="Californian FB" w:hAnsi="Californian FB" w:cs="Times New Roman"/>
          <w:color w:val="000000"/>
          <w:sz w:val="24"/>
          <w:szCs w:val="24"/>
        </w:rPr>
        <w:t>)</w:t>
      </w:r>
      <w:r w:rsidRPr="00047837">
        <w:rPr>
          <w:rFonts w:ascii="Californian FB" w:hAnsi="Californian FB" w:cs="Times New Roman"/>
          <w:color w:val="000000"/>
          <w:sz w:val="24"/>
          <w:szCs w:val="24"/>
        </w:rPr>
        <w:t xml:space="preserve">. </w:t>
      </w:r>
      <w:r>
        <w:rPr>
          <w:rFonts w:ascii="Californian FB" w:hAnsi="Californian FB" w:cs="Times New Roman"/>
          <w:color w:val="000000"/>
          <w:sz w:val="24"/>
          <w:szCs w:val="24"/>
        </w:rPr>
        <w:t>However, i</w:t>
      </w:r>
      <w:r w:rsidRPr="00047837">
        <w:rPr>
          <w:rFonts w:ascii="Californian FB" w:hAnsi="Californian FB" w:cs="Times New Roman"/>
          <w:color w:val="000000"/>
          <w:sz w:val="24"/>
          <w:szCs w:val="24"/>
        </w:rPr>
        <w:t>f the purpose</w:t>
      </w:r>
      <w:r>
        <w:rPr>
          <w:rFonts w:ascii="Californian FB" w:hAnsi="Californian FB" w:cs="Times New Roman"/>
          <w:color w:val="000000"/>
          <w:sz w:val="24"/>
          <w:szCs w:val="24"/>
        </w:rPr>
        <w:t>s</w:t>
      </w:r>
      <w:r w:rsidRPr="00047837">
        <w:rPr>
          <w:rFonts w:ascii="Californian FB" w:hAnsi="Californian FB" w:cs="Times New Roman"/>
          <w:color w:val="000000"/>
          <w:sz w:val="24"/>
          <w:szCs w:val="24"/>
        </w:rPr>
        <w:t xml:space="preserve"> of the two works are the same, the degree of physical transformation must be significant.   </w:t>
      </w:r>
      <w:r w:rsidRPr="00E732CF">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  </w:t>
      </w:r>
      <w:r w:rsidRPr="00E732CF">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In </w:t>
      </w:r>
      <w:r>
        <w:rPr>
          <w:rFonts w:ascii="Californian FB" w:hAnsi="Californian FB" w:cs="Times New Roman"/>
          <w:i/>
          <w:iCs/>
          <w:color w:val="000000"/>
          <w:sz w:val="24"/>
          <w:szCs w:val="24"/>
        </w:rPr>
        <w:t>Goldsmith</w:t>
      </w:r>
      <w:r>
        <w:rPr>
          <w:rFonts w:ascii="Californian FB" w:hAnsi="Californian FB" w:cs="Times New Roman"/>
          <w:color w:val="000000"/>
          <w:sz w:val="24"/>
          <w:szCs w:val="24"/>
        </w:rPr>
        <w:t>, the Second Circuit holds that the purposes of Warhol’s and Goldsmith’s works are the same – they are</w:t>
      </w:r>
      <w:r w:rsidRPr="00796A51">
        <w:rPr>
          <w:rFonts w:ascii="Californian FB" w:hAnsi="Californian FB" w:cs="Times New Roman"/>
          <w:color w:val="000000"/>
          <w:sz w:val="24"/>
          <w:szCs w:val="24"/>
        </w:rPr>
        <w:t xml:space="preserve"> both essentially works of visual art, and portraits.  Therefore, Warhol’s works needed to meet higher standards </w:t>
      </w:r>
      <w:r>
        <w:rPr>
          <w:rFonts w:ascii="Californian FB" w:hAnsi="Californian FB" w:cs="Times New Roman"/>
          <w:color w:val="000000"/>
          <w:sz w:val="24"/>
          <w:szCs w:val="24"/>
        </w:rPr>
        <w:t>of physical transformation,</w:t>
      </w:r>
      <w:r w:rsidRPr="00796A51">
        <w:rPr>
          <w:rFonts w:ascii="Californian FB" w:hAnsi="Californian FB" w:cs="Times New Roman"/>
          <w:color w:val="000000"/>
          <w:sz w:val="24"/>
          <w:szCs w:val="24"/>
        </w:rPr>
        <w:t xml:space="preserve"> which they did not.</w:t>
      </w:r>
      <w:r>
        <w:rPr>
          <w:rFonts w:ascii="Californian FB" w:hAnsi="Californian FB" w:cs="Times New Roman"/>
          <w:color w:val="000000"/>
          <w:sz w:val="24"/>
          <w:szCs w:val="24"/>
        </w:rPr>
        <w:t xml:space="preserve"> Do you agree</w:t>
      </w:r>
      <w:r w:rsidRPr="00796A51">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Can you articulate what “purpose” means in this context?  Does that meaning prevent us from saying that </w:t>
      </w:r>
      <w:r w:rsidRPr="00796A51">
        <w:rPr>
          <w:rFonts w:ascii="Californian FB" w:hAnsi="Californian FB" w:cs="Times New Roman"/>
          <w:color w:val="222222"/>
          <w:sz w:val="24"/>
          <w:szCs w:val="24"/>
          <w:shd w:val="clear" w:color="auto" w:fill="FFFFFF"/>
        </w:rPr>
        <w:t xml:space="preserve">Goldsmith's </w:t>
      </w:r>
      <w:r>
        <w:rPr>
          <w:rFonts w:ascii="Californian FB" w:hAnsi="Californian FB" w:cs="Times New Roman"/>
          <w:color w:val="222222"/>
          <w:sz w:val="24"/>
          <w:szCs w:val="24"/>
          <w:shd w:val="clear" w:color="auto" w:fill="FFFFFF"/>
        </w:rPr>
        <w:t>“</w:t>
      </w:r>
      <w:r w:rsidRPr="00796A51">
        <w:rPr>
          <w:rFonts w:ascii="Californian FB" w:hAnsi="Californian FB" w:cs="Times New Roman"/>
          <w:color w:val="222222"/>
          <w:sz w:val="24"/>
          <w:szCs w:val="24"/>
          <w:shd w:val="clear" w:color="auto" w:fill="FFFFFF"/>
        </w:rPr>
        <w:t>purpose</w:t>
      </w:r>
      <w:r>
        <w:rPr>
          <w:rFonts w:ascii="Californian FB" w:hAnsi="Californian FB" w:cs="Times New Roman"/>
          <w:color w:val="222222"/>
          <w:sz w:val="24"/>
          <w:szCs w:val="24"/>
          <w:shd w:val="clear" w:color="auto" w:fill="FFFFFF"/>
        </w:rPr>
        <w:t>”</w:t>
      </w:r>
      <w:r w:rsidRPr="00796A51">
        <w:rPr>
          <w:rFonts w:ascii="Californian FB" w:hAnsi="Californian FB" w:cs="Times New Roman"/>
          <w:color w:val="222222"/>
          <w:sz w:val="24"/>
          <w:szCs w:val="24"/>
          <w:shd w:val="clear" w:color="auto" w:fill="FFFFFF"/>
        </w:rPr>
        <w:t xml:space="preserve"> was to display Prince as vulnerable, </w:t>
      </w:r>
      <w:r>
        <w:rPr>
          <w:rFonts w:ascii="Californian FB" w:hAnsi="Californian FB" w:cs="Times New Roman"/>
          <w:color w:val="222222"/>
          <w:sz w:val="24"/>
          <w:szCs w:val="24"/>
          <w:shd w:val="clear" w:color="auto" w:fill="FFFFFF"/>
        </w:rPr>
        <w:t>whereas</w:t>
      </w:r>
      <w:r w:rsidRPr="00796A51">
        <w:rPr>
          <w:rFonts w:ascii="Californian FB" w:hAnsi="Californian FB" w:cs="Times New Roman"/>
          <w:color w:val="222222"/>
          <w:sz w:val="24"/>
          <w:szCs w:val="24"/>
          <w:shd w:val="clear" w:color="auto" w:fill="FFFFFF"/>
        </w:rPr>
        <w:t xml:space="preserve"> Warhol's </w:t>
      </w:r>
      <w:r>
        <w:rPr>
          <w:rFonts w:ascii="Californian FB" w:hAnsi="Californian FB" w:cs="Times New Roman"/>
          <w:color w:val="222222"/>
          <w:sz w:val="24"/>
          <w:szCs w:val="24"/>
          <w:shd w:val="clear" w:color="auto" w:fill="FFFFFF"/>
        </w:rPr>
        <w:t xml:space="preserve">different “purpose” </w:t>
      </w:r>
      <w:r w:rsidRPr="00796A51">
        <w:rPr>
          <w:rFonts w:ascii="Californian FB" w:hAnsi="Californian FB" w:cs="Times New Roman"/>
          <w:color w:val="222222"/>
          <w:sz w:val="24"/>
          <w:szCs w:val="24"/>
          <w:shd w:val="clear" w:color="auto" w:fill="FFFFFF"/>
        </w:rPr>
        <w:t>was to display him as self-confident and iconic</w:t>
      </w:r>
      <w:r>
        <w:rPr>
          <w:rFonts w:ascii="Californian FB" w:hAnsi="Californian FB" w:cs="Times New Roman"/>
          <w:color w:val="222222"/>
          <w:sz w:val="24"/>
          <w:szCs w:val="24"/>
          <w:shd w:val="clear" w:color="auto" w:fill="FFFFFF"/>
        </w:rPr>
        <w:t>?</w:t>
      </w:r>
    </w:p>
    <w:p w14:paraId="6BDF9491" w14:textId="77777777" w:rsidR="00ED71C4" w:rsidRPr="000B4DC5" w:rsidRDefault="00ED71C4" w:rsidP="00ED71C4">
      <w:pPr>
        <w:pStyle w:val="ListParagraph"/>
        <w:widowControl w:val="0"/>
        <w:numPr>
          <w:ilvl w:val="0"/>
          <w:numId w:val="7"/>
        </w:numPr>
        <w:spacing w:after="120"/>
        <w:ind w:left="360"/>
        <w:contextualSpacing w:val="0"/>
        <w:jc w:val="both"/>
        <w:rPr>
          <w:rFonts w:ascii="Californian FB" w:hAnsi="Californian FB" w:cs="Times New Roman"/>
          <w:color w:val="000000"/>
          <w:sz w:val="24"/>
          <w:szCs w:val="24"/>
        </w:rPr>
      </w:pPr>
      <w:r w:rsidRPr="000B4DC5">
        <w:rPr>
          <w:rFonts w:ascii="Californian FB" w:hAnsi="Californian FB" w:cs="Times New Roman"/>
          <w:b/>
          <w:bCs/>
          <w:color w:val="000000"/>
          <w:sz w:val="24"/>
          <w:szCs w:val="24"/>
        </w:rPr>
        <w:t xml:space="preserve">Can Fair Use Avoid an Inquiry Into “Intent and Meaning”?   </w:t>
      </w:r>
      <w:r w:rsidRPr="000B4DC5">
        <w:rPr>
          <w:rFonts w:ascii="Californian FB" w:hAnsi="Californian FB" w:cs="Times New Roman"/>
          <w:color w:val="000000"/>
          <w:sz w:val="24"/>
          <w:szCs w:val="24"/>
        </w:rPr>
        <w:t xml:space="preserve">According to the Second Circuit, judges “should not assume the role of art critic and seek to ascertain the intent behind or meaning of the works at issue,” because “judges are typically unsuited to make aesthetic judgments and because such perceptions are inherently subjective.”  Is that possible, and consistent with precedent?  Recall that in </w:t>
      </w:r>
      <w:r w:rsidRPr="000B4DC5">
        <w:rPr>
          <w:rFonts w:ascii="Californian FB" w:hAnsi="Californian FB" w:cs="Times New Roman"/>
          <w:i/>
          <w:iCs/>
          <w:color w:val="000000"/>
          <w:sz w:val="24"/>
          <w:szCs w:val="24"/>
        </w:rPr>
        <w:t>Campbell v. Acuff-Rose</w:t>
      </w:r>
      <w:r w:rsidRPr="000B4DC5">
        <w:rPr>
          <w:rFonts w:ascii="Californian FB" w:hAnsi="Californian FB" w:cs="Times New Roman"/>
          <w:color w:val="000000"/>
          <w:sz w:val="24"/>
          <w:szCs w:val="24"/>
        </w:rPr>
        <w:t xml:space="preserve">, the Supreme Court held that 2 Live Crew’s “Pretty Woman” was transformative with respect to Roy Orbison’s “Oh Pretty Woman” because it could “reasonably be perceived” as a parody. </w:t>
      </w:r>
      <w:r w:rsidRPr="000B4DC5">
        <w:rPr>
          <w:rFonts w:ascii="Californian FB" w:hAnsi="Californian FB" w:cs="Times New Roman"/>
          <w:i/>
          <w:iCs/>
          <w:color w:val="000000"/>
          <w:sz w:val="24"/>
          <w:szCs w:val="24"/>
        </w:rPr>
        <w:t>Campbell</w:t>
      </w:r>
      <w:r w:rsidRPr="000B4DC5">
        <w:rPr>
          <w:rFonts w:ascii="Californian FB" w:hAnsi="Californian FB" w:cs="Times New Roman"/>
          <w:color w:val="000000"/>
          <w:sz w:val="24"/>
          <w:szCs w:val="24"/>
        </w:rPr>
        <w:t xml:space="preserve">, 510 U.S. at 583 The lyrics of the 2 Live Crew version could “be taken as a comment on the naiveté of the original of an earlier day, as a rejection of its sentiment that ignores the ugliness of street life and the debasement that it signifies.” </w:t>
      </w:r>
      <w:r w:rsidRPr="000B4DC5">
        <w:rPr>
          <w:rFonts w:ascii="Californian FB" w:hAnsi="Californian FB" w:cs="Times New Roman"/>
          <w:i/>
          <w:iCs/>
          <w:color w:val="000000"/>
          <w:sz w:val="24"/>
          <w:szCs w:val="24"/>
        </w:rPr>
        <w:t xml:space="preserve">Id. </w:t>
      </w:r>
      <w:r w:rsidRPr="000B4DC5">
        <w:rPr>
          <w:rFonts w:ascii="Californian FB" w:hAnsi="Californian FB" w:cs="Times New Roman"/>
          <w:color w:val="000000"/>
          <w:sz w:val="24"/>
          <w:szCs w:val="24"/>
        </w:rPr>
        <w:t xml:space="preserve">at 584. Doesn’t that require an inquiry into the meaning of both works – or at least one of possibly several meanings that can reasonably be perceived?  On the other </w:t>
      </w:r>
      <w:proofErr w:type="gramStart"/>
      <w:r w:rsidRPr="000B4DC5">
        <w:rPr>
          <w:rFonts w:ascii="Californian FB" w:hAnsi="Californian FB" w:cs="Times New Roman"/>
          <w:color w:val="000000"/>
          <w:sz w:val="24"/>
          <w:szCs w:val="24"/>
        </w:rPr>
        <w:t>hand</w:t>
      </w:r>
      <w:proofErr w:type="gramEnd"/>
      <w:r w:rsidRPr="000B4DC5">
        <w:rPr>
          <w:rFonts w:ascii="Californian FB" w:hAnsi="Californian FB" w:cs="Times New Roman"/>
          <w:color w:val="000000"/>
          <w:sz w:val="24"/>
          <w:szCs w:val="24"/>
        </w:rPr>
        <w:t xml:space="preserve"> Justice Holmes did tell us in the circus poster case (</w:t>
      </w:r>
      <w:proofErr w:type="spellStart"/>
      <w:r w:rsidRPr="000B4DC5">
        <w:rPr>
          <w:rFonts w:ascii="Californian FB" w:hAnsi="Californian FB" w:cs="Times New Roman"/>
          <w:i/>
          <w:color w:val="000000"/>
          <w:sz w:val="24"/>
          <w:szCs w:val="24"/>
        </w:rPr>
        <w:t>Bleistein</w:t>
      </w:r>
      <w:proofErr w:type="spellEnd"/>
      <w:r w:rsidRPr="000B4DC5">
        <w:rPr>
          <w:rFonts w:ascii="Californian FB" w:hAnsi="Californian FB" w:cs="Times New Roman"/>
          <w:i/>
          <w:color w:val="000000"/>
          <w:sz w:val="24"/>
          <w:szCs w:val="24"/>
        </w:rPr>
        <w:t xml:space="preserve">, </w:t>
      </w:r>
      <w:r w:rsidRPr="000B4DC5">
        <w:rPr>
          <w:rFonts w:ascii="Californian FB" w:hAnsi="Californian FB" w:cs="Times New Roman"/>
          <w:color w:val="000000"/>
          <w:sz w:val="24"/>
          <w:szCs w:val="24"/>
        </w:rPr>
        <w:t xml:space="preserve">at page 53 of the main volume) that “It would be a dangerous undertaking for persons trained only to the law to constitute themselves final judges of the worth of pictorial illustrations, outside of the narrowest and most obvious limits.” Is the Second Circuit in </w:t>
      </w:r>
      <w:r w:rsidRPr="000B4DC5">
        <w:rPr>
          <w:rFonts w:ascii="Californian FB" w:hAnsi="Californian FB" w:cs="Times New Roman"/>
          <w:i/>
          <w:color w:val="000000"/>
          <w:sz w:val="24"/>
          <w:szCs w:val="24"/>
        </w:rPr>
        <w:t>Goldsmith</w:t>
      </w:r>
      <w:r w:rsidRPr="000B4DC5">
        <w:rPr>
          <w:rFonts w:ascii="Californian FB" w:hAnsi="Californian FB" w:cs="Times New Roman"/>
          <w:color w:val="000000"/>
          <w:sz w:val="24"/>
          <w:szCs w:val="24"/>
        </w:rPr>
        <w:t xml:space="preserve"> just being faithful to that cautionary observation, or does the difference in context suggest that Holmes’ aphorism ought not to govern in assessing fair use?</w:t>
      </w:r>
    </w:p>
    <w:p w14:paraId="7B537F8D" w14:textId="247023AA" w:rsidR="00ED71C4" w:rsidRPr="000B4DC5" w:rsidRDefault="00ED71C4"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b/>
          <w:bCs/>
          <w:color w:val="000000"/>
          <w:sz w:val="24"/>
          <w:szCs w:val="24"/>
        </w:rPr>
      </w:pPr>
      <w:r>
        <w:rPr>
          <w:rFonts w:ascii="Californian FB" w:hAnsi="Californian FB" w:cs="Times New Roman"/>
          <w:b/>
          <w:bCs/>
          <w:color w:val="000000"/>
          <w:sz w:val="24"/>
          <w:szCs w:val="24"/>
        </w:rPr>
        <w:lastRenderedPageBreak/>
        <w:t xml:space="preserve">A “Reasonably Perceived to Communicate a New Message or Meaning” Standard?  </w:t>
      </w:r>
      <w:r>
        <w:rPr>
          <w:rFonts w:ascii="Californian FB" w:hAnsi="Californian FB" w:cs="Times New Roman"/>
          <w:color w:val="000000"/>
          <w:sz w:val="24"/>
          <w:szCs w:val="24"/>
        </w:rPr>
        <w:t xml:space="preserve">In the Supreme Court, petitioner Andy Warhol Foundation argues that a work should count as transformative if it can “reasonably be perceived as conveying a new meaning or message” as compared to its source material.  </w:t>
      </w:r>
      <w:r>
        <w:rPr>
          <w:rFonts w:ascii="Californian FB" w:hAnsi="Californian FB" w:cs="Times New Roman"/>
          <w:i/>
          <w:iCs/>
          <w:color w:val="000000"/>
          <w:sz w:val="24"/>
          <w:szCs w:val="24"/>
        </w:rPr>
        <w:t xml:space="preserve">Andy Warhol Foundation v. Goldsmith, </w:t>
      </w:r>
      <w:r>
        <w:rPr>
          <w:rFonts w:ascii="Californian FB" w:hAnsi="Californian FB" w:cs="Times New Roman"/>
          <w:color w:val="000000"/>
          <w:sz w:val="24"/>
          <w:szCs w:val="24"/>
        </w:rPr>
        <w:t xml:space="preserve">No. 21-869, Brief for Petitioner at 33-37.  Should </w:t>
      </w:r>
      <w:r>
        <w:rPr>
          <w:rFonts w:ascii="Californian FB" w:hAnsi="Californian FB" w:cs="Times New Roman"/>
          <w:i/>
          <w:iCs/>
          <w:color w:val="000000"/>
          <w:sz w:val="24"/>
          <w:szCs w:val="24"/>
        </w:rPr>
        <w:t>Campbell v. Acuff-Rose</w:t>
      </w:r>
      <w:r>
        <w:rPr>
          <w:rFonts w:ascii="Californian FB" w:hAnsi="Californian FB" w:cs="Times New Roman"/>
          <w:color w:val="000000"/>
          <w:sz w:val="24"/>
          <w:szCs w:val="24"/>
        </w:rPr>
        <w:t xml:space="preserve"> be construed that broadly?  Recall that </w:t>
      </w:r>
      <w:r>
        <w:rPr>
          <w:rFonts w:ascii="Californian FB" w:hAnsi="Californian FB" w:cs="Times New Roman"/>
          <w:i/>
          <w:iCs/>
          <w:color w:val="000000"/>
          <w:sz w:val="24"/>
          <w:szCs w:val="24"/>
        </w:rPr>
        <w:t xml:space="preserve">Campbell </w:t>
      </w:r>
      <w:r>
        <w:rPr>
          <w:rFonts w:ascii="Californian FB" w:hAnsi="Californian FB" w:cs="Times New Roman"/>
          <w:color w:val="000000"/>
          <w:sz w:val="24"/>
          <w:szCs w:val="24"/>
        </w:rPr>
        <w:t xml:space="preserve">concerns a work that the Court found could “reasonably be perceived” as </w:t>
      </w:r>
      <w:r w:rsidRPr="00C461AE">
        <w:rPr>
          <w:rFonts w:ascii="Californian FB" w:hAnsi="Californian FB" w:cs="Times New Roman"/>
          <w:i/>
          <w:iCs/>
          <w:color w:val="000000"/>
          <w:sz w:val="24"/>
          <w:szCs w:val="24"/>
        </w:rPr>
        <w:t>criticizing</w:t>
      </w:r>
      <w:r>
        <w:rPr>
          <w:rFonts w:ascii="Californian FB" w:hAnsi="Californian FB" w:cs="Times New Roman"/>
          <w:color w:val="000000"/>
          <w:sz w:val="24"/>
          <w:szCs w:val="24"/>
        </w:rPr>
        <w:t xml:space="preserve"> the work from which it drew, by parodying it.  Are there reasons why we would want to protect criticism of an earlier work more than a non-critical “new meaning or message,” and why we would see it as less likely to be a substitute?  To put the “new meaning or message” approach to your own test, check out this web site entitled </w:t>
      </w:r>
      <w:hyperlink r:id="rId162" w:history="1">
        <w:r w:rsidRPr="00931AC8">
          <w:rPr>
            <w:rStyle w:val="Hyperlink"/>
            <w:rFonts w:ascii="Californian FB" w:hAnsi="Californian FB" w:cs="Times New Roman"/>
            <w:b/>
            <w:bCs/>
            <w:i/>
            <w:sz w:val="24"/>
            <w:szCs w:val="24"/>
          </w:rPr>
          <w:t>15 Movie Ad</w:t>
        </w:r>
        <w:r>
          <w:rPr>
            <w:rStyle w:val="Hyperlink"/>
            <w:rFonts w:ascii="Californian FB" w:hAnsi="Californian FB" w:cs="Times New Roman"/>
            <w:b/>
            <w:bCs/>
            <w:i/>
            <w:sz w:val="24"/>
            <w:szCs w:val="24"/>
          </w:rPr>
          <w:t>aptat</w:t>
        </w:r>
        <w:r>
          <w:rPr>
            <w:rStyle w:val="Hyperlink"/>
            <w:rFonts w:ascii="Californian FB" w:hAnsi="Californian FB" w:cs="Times New Roman"/>
            <w:b/>
            <w:bCs/>
            <w:i/>
            <w:sz w:val="24"/>
            <w:szCs w:val="24"/>
          </w:rPr>
          <w:t>i</w:t>
        </w:r>
        <w:r>
          <w:rPr>
            <w:rStyle w:val="Hyperlink"/>
            <w:rFonts w:ascii="Californian FB" w:hAnsi="Californian FB" w:cs="Times New Roman"/>
            <w:b/>
            <w:bCs/>
            <w:i/>
            <w:sz w:val="24"/>
            <w:szCs w:val="24"/>
          </w:rPr>
          <w:t>ons COMPLETELY Different f</w:t>
        </w:r>
        <w:r w:rsidRPr="00931AC8">
          <w:rPr>
            <w:rStyle w:val="Hyperlink"/>
            <w:rFonts w:ascii="Californian FB" w:hAnsi="Californian FB" w:cs="Times New Roman"/>
            <w:b/>
            <w:bCs/>
            <w:i/>
            <w:sz w:val="24"/>
            <w:szCs w:val="24"/>
          </w:rPr>
          <w:t>rom The Books</w:t>
        </w:r>
      </w:hyperlink>
      <w:r w:rsidRPr="00931AC8">
        <w:rPr>
          <w:rFonts w:ascii="Californian FB" w:hAnsi="Californian FB" w:cs="Times New Roman"/>
          <w:b/>
          <w:bCs/>
          <w:i/>
          <w:color w:val="000000"/>
          <w:sz w:val="24"/>
          <w:szCs w:val="24"/>
        </w:rPr>
        <w:t>.</w:t>
      </w:r>
      <w:r>
        <w:rPr>
          <w:rFonts w:ascii="Californian FB" w:hAnsi="Californian FB" w:cs="Times New Roman"/>
          <w:b/>
          <w:bCs/>
          <w:color w:val="000000"/>
          <w:sz w:val="24"/>
          <w:szCs w:val="24"/>
        </w:rPr>
        <w:t xml:space="preserve">  </w:t>
      </w:r>
      <w:r>
        <w:rPr>
          <w:rFonts w:ascii="Californian FB" w:hAnsi="Californian FB" w:cs="Times New Roman"/>
          <w:bCs/>
          <w:color w:val="000000"/>
          <w:sz w:val="24"/>
          <w:szCs w:val="24"/>
        </w:rPr>
        <w:t>Do you think any of the movies would be considered fair use of the books upon which they were based?  If you were arguing for the AWF in the Supreme Court and Justice Kagan asked you that question, what would you say?</w:t>
      </w:r>
    </w:p>
    <w:p w14:paraId="4D512E3F" w14:textId="7D14EBCD" w:rsidR="00ED71C4" w:rsidRPr="00C461AE" w:rsidRDefault="0064157C"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b/>
          <w:bCs/>
          <w:color w:val="000000"/>
          <w:sz w:val="24"/>
          <w:szCs w:val="24"/>
        </w:rPr>
      </w:pPr>
      <w:r>
        <w:rPr>
          <w:noProof/>
        </w:rPr>
        <w:drawing>
          <wp:anchor distT="0" distB="0" distL="114300" distR="114300" simplePos="0" relativeHeight="251751424" behindDoc="0" locked="0" layoutInCell="1" allowOverlap="1" wp14:anchorId="7F12C638" wp14:editId="05357B13">
            <wp:simplePos x="0" y="0"/>
            <wp:positionH relativeFrom="column">
              <wp:posOffset>3460750</wp:posOffset>
            </wp:positionH>
            <wp:positionV relativeFrom="page">
              <wp:posOffset>3503930</wp:posOffset>
            </wp:positionV>
            <wp:extent cx="2478405" cy="38100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7840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1C4">
        <w:rPr>
          <w:rFonts w:ascii="Californian FB" w:hAnsi="Californian FB" w:cs="Times New Roman"/>
          <w:b/>
          <w:bCs/>
          <w:color w:val="000000"/>
          <w:sz w:val="24"/>
          <w:szCs w:val="24"/>
        </w:rPr>
        <w:t xml:space="preserve">The original “Goldsmith Photograph.” </w:t>
      </w:r>
      <w:r w:rsidR="00ED71C4">
        <w:rPr>
          <w:rFonts w:ascii="Californian FB" w:hAnsi="Californian FB" w:cs="Times New Roman"/>
          <w:color w:val="000000"/>
          <w:sz w:val="24"/>
          <w:szCs w:val="24"/>
        </w:rPr>
        <w:t xml:space="preserve">As presented in the declaratory judgement complaint, the original Goldsmith Photograph is in color and shows much more of Prince than the cropped, black-and-white version presented in the Second Circuit’s published opinion.  The </w:t>
      </w:r>
      <w:r w:rsidR="00ED71C4" w:rsidRPr="00872545">
        <w:rPr>
          <w:rFonts w:ascii="Californian FB" w:hAnsi="Californian FB" w:cs="Times New Roman"/>
          <w:color w:val="000000"/>
          <w:sz w:val="24"/>
          <w:szCs w:val="24"/>
        </w:rPr>
        <w:t>conversion to blank-and-white may be due to the limitations of printing the Federal Reporter, but should the Second Circuit have printed the full Goldsmith Photograph, rather than a cropped version?</w:t>
      </w:r>
    </w:p>
    <w:p w14:paraId="3E6801A0" w14:textId="1145D633" w:rsidR="00ED71C4" w:rsidRPr="00FA5BC5" w:rsidRDefault="00ED71C4"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b/>
          <w:bCs/>
          <w:color w:val="000000"/>
          <w:sz w:val="24"/>
          <w:szCs w:val="24"/>
        </w:rPr>
      </w:pPr>
      <w:r w:rsidRPr="00C461AE">
        <w:rPr>
          <w:rFonts w:ascii="Californian FB" w:hAnsi="Californian FB" w:cs="Times New Roman"/>
          <w:b/>
          <w:bCs/>
          <w:color w:val="000000"/>
          <w:sz w:val="24"/>
          <w:szCs w:val="24"/>
        </w:rPr>
        <w:t xml:space="preserve">The District Court’s assessment of changed meaning and intent.  </w:t>
      </w:r>
      <w:r w:rsidRPr="00C461AE">
        <w:rPr>
          <w:rFonts w:ascii="Californian FB" w:hAnsi="Californian FB" w:cs="Times New Roman"/>
          <w:color w:val="000000"/>
          <w:sz w:val="24"/>
          <w:szCs w:val="24"/>
        </w:rPr>
        <w:t>As the Second Circuit relates, the District Court found that Warhol’s Prince Series was transformative because while the Goldsmith Photograph portrays Prince as “not a comfortable person” and a “vulnerable human being,” the Prince Series portrays Prince as an “iconic, larger-than-life figure.”  Can you see why the District Court might have come to that conclusion? Why might Prince look “uncomfortable” and “vulnerable” in the Goldsmith Photograph?  Hands in pockets, a position of timidity? Anything else?  The works differ in one other detail that is subtle, but likely contributes greatly to their different “feel.”  Goldsmith’s camera was placed above Prince’s eye level, and we believe above the top of his head, so that Prince is looking slightly up towards something larger than him – a position of vulnerability. That is reflected in the tilt of a line that could be drawn between Prince’s pupils – it would angle down to the right side of the photograph. Warhol changes that.  In Warhol’s version, the eye pupils are exactly horizontal, suggesting a camera that is at eye level</w:t>
      </w:r>
      <w:r>
        <w:rPr>
          <w:rFonts w:ascii="Californian FB" w:hAnsi="Californian FB" w:cs="Times New Roman"/>
          <w:color w:val="000000"/>
          <w:sz w:val="24"/>
          <w:szCs w:val="24"/>
        </w:rPr>
        <w:t xml:space="preserve">.  </w:t>
      </w:r>
      <w:r w:rsidRPr="00C461AE">
        <w:rPr>
          <w:rFonts w:ascii="Californian FB" w:hAnsi="Californian FB" w:cs="Times New Roman"/>
          <w:color w:val="000000"/>
          <w:sz w:val="24"/>
          <w:szCs w:val="24"/>
        </w:rPr>
        <w:t xml:space="preserve"> Prince is not looking up at the camera, but is directly confronting it at his own level. To achieve that effect, </w:t>
      </w:r>
      <w:r w:rsidRPr="00C461AE">
        <w:rPr>
          <w:rFonts w:ascii="Californian FB" w:hAnsi="Californian FB" w:cs="Times New Roman"/>
          <w:color w:val="000000"/>
          <w:sz w:val="24"/>
          <w:szCs w:val="24"/>
        </w:rPr>
        <w:lastRenderedPageBreak/>
        <w:t>Warhol rotated the Goldsmith Photograph about five degrees to the left (See the comparison</w:t>
      </w:r>
      <w:r>
        <w:rPr>
          <w:rFonts w:ascii="Californian FB" w:hAnsi="Californian FB" w:cs="Times New Roman"/>
          <w:color w:val="000000"/>
          <w:sz w:val="24"/>
          <w:szCs w:val="24"/>
        </w:rPr>
        <w:t xml:space="preserve"> below</w:t>
      </w:r>
      <w:r w:rsidRPr="00C461AE">
        <w:rPr>
          <w:rFonts w:ascii="Californian FB" w:hAnsi="Californian FB" w:cs="Times New Roman"/>
          <w:color w:val="000000"/>
          <w:sz w:val="24"/>
          <w:szCs w:val="24"/>
        </w:rPr>
        <w:t>). The eye-level gaze arguably affects how we view Prince – as less vulnerable, and more assertive.</w:t>
      </w:r>
      <w:r>
        <w:rPr>
          <w:rFonts w:ascii="Californian FB" w:hAnsi="Californian FB" w:cs="Times New Roman"/>
          <w:color w:val="000000"/>
          <w:sz w:val="24"/>
          <w:szCs w:val="24"/>
        </w:rPr>
        <w:t xml:space="preserve"> </w:t>
      </w:r>
      <w:r w:rsidRPr="00C461AE">
        <w:rPr>
          <w:rFonts w:ascii="Californian FB" w:hAnsi="Californian FB" w:cs="Times New Roman"/>
          <w:color w:val="000000"/>
          <w:sz w:val="24"/>
          <w:szCs w:val="24"/>
        </w:rPr>
        <w:t>Should we take that into account at all in gauging “</w:t>
      </w:r>
      <w:proofErr w:type="spellStart"/>
      <w:r w:rsidRPr="00C461AE">
        <w:rPr>
          <w:rFonts w:ascii="Californian FB" w:hAnsi="Californian FB" w:cs="Times New Roman"/>
          <w:color w:val="000000"/>
          <w:sz w:val="24"/>
          <w:szCs w:val="24"/>
        </w:rPr>
        <w:t>transformativeness</w:t>
      </w:r>
      <w:proofErr w:type="spellEnd"/>
      <w:r w:rsidRPr="00C461AE">
        <w:rPr>
          <w:rFonts w:ascii="Californian FB" w:hAnsi="Californian FB" w:cs="Times New Roman"/>
          <w:color w:val="000000"/>
          <w:sz w:val="24"/>
          <w:szCs w:val="24"/>
        </w:rPr>
        <w:t xml:space="preserve">” for the first fair use factor?  </w:t>
      </w:r>
    </w:p>
    <w:p w14:paraId="37132FB1" w14:textId="77777777" w:rsidR="00ED71C4" w:rsidRPr="00931AC8" w:rsidRDefault="00ED71C4" w:rsidP="00ED71C4">
      <w:pPr>
        <w:pStyle w:val="ListParagraph"/>
        <w:widowControl w:val="0"/>
        <w:autoSpaceDE w:val="0"/>
        <w:autoSpaceDN w:val="0"/>
        <w:adjustRightInd w:val="0"/>
        <w:spacing w:after="120"/>
        <w:ind w:left="360"/>
        <w:contextualSpacing w:val="0"/>
        <w:jc w:val="center"/>
        <w:rPr>
          <w:rFonts w:ascii="Californian FB" w:hAnsi="Californian FB" w:cs="Times New Roman"/>
          <w:b/>
          <w:bCs/>
          <w:color w:val="000000"/>
          <w:sz w:val="24"/>
          <w:szCs w:val="24"/>
        </w:rPr>
      </w:pPr>
      <w:r>
        <w:rPr>
          <w:rFonts w:ascii="Californian FB" w:hAnsi="Californian FB" w:cs="Times New Roman"/>
          <w:b/>
          <w:bCs/>
          <w:noProof/>
          <w:color w:val="000000"/>
          <w:sz w:val="24"/>
          <w:szCs w:val="24"/>
        </w:rPr>
        <w:drawing>
          <wp:inline distT="0" distB="0" distL="0" distR="0" wp14:anchorId="780FB49B" wp14:editId="1A8CEACE">
            <wp:extent cx="4770998" cy="22507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4"/>
                    <a:stretch>
                      <a:fillRect/>
                    </a:stretch>
                  </pic:blipFill>
                  <pic:spPr>
                    <a:xfrm>
                      <a:off x="0" y="0"/>
                      <a:ext cx="4849624" cy="2287885"/>
                    </a:xfrm>
                    <a:prstGeom prst="rect">
                      <a:avLst/>
                    </a:prstGeom>
                  </pic:spPr>
                </pic:pic>
              </a:graphicData>
            </a:graphic>
          </wp:inline>
        </w:drawing>
      </w:r>
      <w:r w:rsidRPr="00931AC8">
        <w:rPr>
          <w:rFonts w:ascii="Californian FB" w:hAnsi="Californian FB" w:cs="Times New Roman"/>
          <w:b/>
          <w:bCs/>
          <w:color w:val="000000"/>
          <w:sz w:val="24"/>
          <w:szCs w:val="24"/>
        </w:rPr>
        <w:t xml:space="preserve">                                    </w:t>
      </w:r>
    </w:p>
    <w:p w14:paraId="76196799" w14:textId="77777777" w:rsidR="00ED71C4" w:rsidRPr="00E51C1E" w:rsidRDefault="00ED71C4"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b/>
          <w:bCs/>
          <w:color w:val="000000"/>
          <w:sz w:val="24"/>
          <w:szCs w:val="24"/>
        </w:rPr>
      </w:pPr>
      <w:r w:rsidRPr="005B410F">
        <w:rPr>
          <w:rFonts w:ascii="Californian FB" w:hAnsi="Californian FB" w:cs="Times New Roman"/>
          <w:b/>
          <w:bCs/>
          <w:color w:val="000000"/>
          <w:sz w:val="24"/>
          <w:szCs w:val="24"/>
        </w:rPr>
        <w:t>Photography and Creativity.</w:t>
      </w:r>
      <w:r>
        <w:rPr>
          <w:rFonts w:ascii="Californian FB" w:hAnsi="Californian FB" w:cs="Times New Roman"/>
          <w:b/>
          <w:bCs/>
          <w:color w:val="000000"/>
          <w:sz w:val="24"/>
          <w:szCs w:val="24"/>
        </w:rPr>
        <w:t xml:space="preserve"> </w:t>
      </w:r>
      <w:r>
        <w:rPr>
          <w:rFonts w:ascii="Californian FB" w:hAnsi="Californian FB" w:cs="Times New Roman"/>
          <w:bCs/>
          <w:color w:val="000000"/>
          <w:sz w:val="24"/>
          <w:szCs w:val="24"/>
        </w:rPr>
        <w:t>At one point the Second Circuit says “</w:t>
      </w:r>
      <w:r w:rsidRPr="00A65496">
        <w:rPr>
          <w:rFonts w:ascii="Californian FB" w:hAnsi="Californian FB" w:cs="Times New Roman"/>
          <w:color w:val="000000"/>
          <w:sz w:val="24"/>
          <w:szCs w:val="24"/>
        </w:rPr>
        <w:t>there can be no meaningful dispute that the overarching purpose and function of the two works at issue here is identical, not merely in the broad sense that they are created as works of visual art, but also in the narrow but essential sense that they are portraits of the same person.</w:t>
      </w:r>
      <w:r>
        <w:rPr>
          <w:rFonts w:ascii="Californian FB" w:hAnsi="Californian FB" w:cs="Times New Roman"/>
          <w:color w:val="000000"/>
          <w:sz w:val="24"/>
          <w:szCs w:val="24"/>
        </w:rPr>
        <w:t xml:space="preserve">”  Perhaps this is a good example of how we can’t always take judicial language literally.  Prince’s appearance is not a protectable aspect of Goldsmith’s photo.  Before we reach fair use there has to be appropriation of protectable material. It is only transformations of </w:t>
      </w:r>
      <w:r>
        <w:rPr>
          <w:rFonts w:ascii="Californian FB" w:hAnsi="Californian FB" w:cs="Times New Roman"/>
          <w:i/>
          <w:color w:val="000000"/>
          <w:sz w:val="24"/>
          <w:szCs w:val="24"/>
        </w:rPr>
        <w:t>that</w:t>
      </w:r>
      <w:r>
        <w:rPr>
          <w:rFonts w:ascii="Californian FB" w:hAnsi="Californian FB" w:cs="Times New Roman"/>
          <w:color w:val="000000"/>
          <w:sz w:val="24"/>
          <w:szCs w:val="24"/>
        </w:rPr>
        <w:t xml:space="preserve"> material that should be considered in thinking about fair use.   </w:t>
      </w:r>
      <w:proofErr w:type="gramStart"/>
      <w:r>
        <w:rPr>
          <w:rFonts w:ascii="Californian FB" w:hAnsi="Californian FB" w:cs="Times New Roman"/>
          <w:color w:val="000000"/>
          <w:sz w:val="24"/>
          <w:szCs w:val="24"/>
        </w:rPr>
        <w:t>So</w:t>
      </w:r>
      <w:proofErr w:type="gramEnd"/>
      <w:r>
        <w:rPr>
          <w:rFonts w:ascii="Californian FB" w:hAnsi="Californian FB" w:cs="Times New Roman"/>
          <w:color w:val="000000"/>
          <w:sz w:val="24"/>
          <w:szCs w:val="24"/>
        </w:rPr>
        <w:t xml:space="preserve"> what was original about Goldsmith’s photograph?  Recall that in </w:t>
      </w:r>
      <w:r>
        <w:rPr>
          <w:rFonts w:ascii="Californian FB" w:hAnsi="Californian FB" w:cs="Times New Roman"/>
          <w:i/>
          <w:iCs/>
          <w:color w:val="000000"/>
          <w:sz w:val="24"/>
          <w:szCs w:val="24"/>
        </w:rPr>
        <w:t>Mannion v. Coors</w:t>
      </w:r>
      <w:r>
        <w:rPr>
          <w:rFonts w:ascii="Californian FB" w:hAnsi="Californian FB" w:cs="Times New Roman"/>
          <w:color w:val="000000"/>
          <w:sz w:val="24"/>
          <w:szCs w:val="24"/>
        </w:rPr>
        <w:t>, on p. 65 of the main volume, the court separates the possible creative acts of photographers into three groups: rendition, timing, and creation of the subject.  According to the Second Circuit, what creative acts can be identified in the history of creating the Goldsmith Photograph?  Which of those remain recognizable in the Prince Series?</w:t>
      </w:r>
    </w:p>
    <w:p w14:paraId="47A851AA" w14:textId="77777777" w:rsidR="00ED71C4" w:rsidRPr="001B0F1D" w:rsidRDefault="00ED71C4" w:rsidP="00ED71C4">
      <w:pPr>
        <w:pStyle w:val="ListParagraph"/>
        <w:widowControl w:val="0"/>
        <w:numPr>
          <w:ilvl w:val="0"/>
          <w:numId w:val="7"/>
        </w:numPr>
        <w:autoSpaceDE w:val="0"/>
        <w:autoSpaceDN w:val="0"/>
        <w:adjustRightInd w:val="0"/>
        <w:spacing w:after="120"/>
        <w:ind w:left="360"/>
        <w:contextualSpacing w:val="0"/>
        <w:jc w:val="both"/>
        <w:rPr>
          <w:rFonts w:ascii="Californian FB" w:hAnsi="Californian FB" w:cs="Times New Roman"/>
          <w:color w:val="000000"/>
          <w:sz w:val="24"/>
          <w:szCs w:val="24"/>
        </w:rPr>
      </w:pPr>
      <w:r w:rsidRPr="001B0F1D">
        <w:rPr>
          <w:rFonts w:ascii="Californian FB" w:hAnsi="Californian FB" w:cs="Times New Roman"/>
          <w:b/>
          <w:bCs/>
          <w:color w:val="000000"/>
          <w:sz w:val="24"/>
          <w:szCs w:val="24"/>
        </w:rPr>
        <w:t xml:space="preserve">Has Transformative Use Become Everything and Nothing? </w:t>
      </w:r>
      <w:r w:rsidRPr="001B0F1D">
        <w:rPr>
          <w:rFonts w:ascii="Californian FB" w:hAnsi="Californian FB" w:cs="Times New Roman"/>
          <w:color w:val="000000"/>
          <w:sz w:val="24"/>
          <w:szCs w:val="24"/>
        </w:rPr>
        <w:t xml:space="preserve">Scholar </w:t>
      </w:r>
      <w:proofErr w:type="spellStart"/>
      <w:r w:rsidRPr="001B0F1D">
        <w:rPr>
          <w:rFonts w:ascii="Californian FB" w:hAnsi="Californian FB" w:cs="Times New Roman"/>
          <w:color w:val="000000"/>
          <w:sz w:val="24"/>
          <w:szCs w:val="24"/>
        </w:rPr>
        <w:t>Jiarui</w:t>
      </w:r>
      <w:proofErr w:type="spellEnd"/>
      <w:r w:rsidRPr="001B0F1D">
        <w:rPr>
          <w:rFonts w:ascii="Californian FB" w:hAnsi="Californian FB" w:cs="Times New Roman"/>
          <w:color w:val="000000"/>
          <w:sz w:val="24"/>
          <w:szCs w:val="24"/>
        </w:rPr>
        <w:t xml:space="preserve"> Liu studied all fair use decisions mentioning transformative use from 1990 through 2016. </w:t>
      </w:r>
      <w:r w:rsidRPr="001B0F1D">
        <w:rPr>
          <w:rFonts w:ascii="Californian FB" w:hAnsi="Californian FB" w:cs="Times New Roman"/>
          <w:i/>
          <w:iCs/>
          <w:color w:val="000000"/>
          <w:sz w:val="24"/>
          <w:szCs w:val="24"/>
        </w:rPr>
        <w:t xml:space="preserve">See </w:t>
      </w:r>
      <w:proofErr w:type="spellStart"/>
      <w:r w:rsidRPr="001B0F1D">
        <w:rPr>
          <w:rFonts w:ascii="Californian FB" w:hAnsi="Californian FB" w:cs="Times New Roman"/>
          <w:color w:val="000000"/>
          <w:sz w:val="24"/>
          <w:szCs w:val="24"/>
        </w:rPr>
        <w:t>Jiarui</w:t>
      </w:r>
      <w:proofErr w:type="spellEnd"/>
      <w:r w:rsidRPr="001B0F1D">
        <w:rPr>
          <w:rFonts w:ascii="Californian FB" w:hAnsi="Californian FB" w:cs="Times New Roman"/>
          <w:color w:val="000000"/>
          <w:sz w:val="24"/>
          <w:szCs w:val="24"/>
        </w:rPr>
        <w:t xml:space="preserve"> Liu, An Empirical Study of Transformative Use in Copyright Law, 22 Stan. Tech. L. Rev. 163 (2019). Over that time period, 94% of decisions that found transformative use also found fair use, while 94% of decisions that ruled against transformative use also ruled against fair use. </w:t>
      </w:r>
      <w:r w:rsidRPr="001B0F1D">
        <w:rPr>
          <w:rFonts w:ascii="Californian FB" w:hAnsi="Californian FB" w:cs="Times New Roman"/>
          <w:i/>
          <w:iCs/>
          <w:color w:val="000000"/>
          <w:sz w:val="24"/>
          <w:szCs w:val="24"/>
        </w:rPr>
        <w:t xml:space="preserve">Id. </w:t>
      </w:r>
      <w:r w:rsidRPr="001B0F1D">
        <w:rPr>
          <w:rFonts w:ascii="Californian FB" w:hAnsi="Californian FB" w:cs="Times New Roman"/>
          <w:color w:val="000000"/>
          <w:sz w:val="24"/>
          <w:szCs w:val="24"/>
        </w:rPr>
        <w:t xml:space="preserve">at 180. </w:t>
      </w:r>
      <w:r>
        <w:rPr>
          <w:rFonts w:ascii="Californian FB" w:hAnsi="Californian FB" w:cs="Times New Roman"/>
          <w:color w:val="000000"/>
          <w:sz w:val="24"/>
          <w:szCs w:val="24"/>
        </w:rPr>
        <w:t>Given that correlation, it is not surprising that transformative use also heavily affects each factor: “</w:t>
      </w:r>
      <w:r w:rsidRPr="001B0F1D">
        <w:rPr>
          <w:rFonts w:ascii="Californian FB" w:hAnsi="Californian FB" w:cs="Times New Roman"/>
          <w:color w:val="000000"/>
          <w:sz w:val="24"/>
          <w:szCs w:val="24"/>
        </w:rPr>
        <w:t>transformative use dominates the outcomes of factor one and four, raises the extent of copying allowed under factor three, and diminishes the weight that courts allocate to factor two.</w:t>
      </w:r>
      <w:r>
        <w:rPr>
          <w:rFonts w:ascii="Californian FB" w:hAnsi="Californian FB" w:cs="Times New Roman"/>
          <w:color w:val="000000"/>
          <w:sz w:val="24"/>
          <w:szCs w:val="24"/>
        </w:rPr>
        <w:t xml:space="preserve">” </w:t>
      </w:r>
      <w:r>
        <w:rPr>
          <w:rFonts w:ascii="Californian FB" w:hAnsi="Californian FB" w:cs="Times New Roman"/>
          <w:i/>
          <w:iCs/>
          <w:color w:val="000000"/>
          <w:sz w:val="24"/>
          <w:szCs w:val="24"/>
        </w:rPr>
        <w:t xml:space="preserve">Id. </w:t>
      </w:r>
      <w:r>
        <w:rPr>
          <w:rFonts w:ascii="Californian FB" w:hAnsi="Californian FB" w:cs="Times New Roman"/>
          <w:color w:val="000000"/>
          <w:sz w:val="24"/>
          <w:szCs w:val="24"/>
        </w:rPr>
        <w:t>at 181. Yet Liu concludes that while “</w:t>
      </w:r>
      <w:r w:rsidRPr="00EE7675">
        <w:rPr>
          <w:rFonts w:ascii="Californian FB" w:hAnsi="Californian FB" w:cs="Times New Roman"/>
          <w:color w:val="000000"/>
          <w:sz w:val="24"/>
          <w:szCs w:val="24"/>
        </w:rPr>
        <w:t>many judges have an apparent consensus that only transformative use can rescue fair use, they hardly have any consensus on what transformative use actually means</w:t>
      </w:r>
      <w:r>
        <w:rPr>
          <w:rFonts w:ascii="Californian FB" w:hAnsi="Californian FB" w:cs="Times New Roman"/>
          <w:color w:val="000000"/>
          <w:sz w:val="24"/>
          <w:szCs w:val="24"/>
        </w:rPr>
        <w:t xml:space="preserve">.” </w:t>
      </w:r>
      <w:r>
        <w:rPr>
          <w:rFonts w:ascii="Californian FB" w:hAnsi="Californian FB" w:cs="Times New Roman"/>
          <w:i/>
          <w:iCs/>
          <w:color w:val="000000"/>
          <w:sz w:val="24"/>
          <w:szCs w:val="24"/>
        </w:rPr>
        <w:t xml:space="preserve">Id. </w:t>
      </w:r>
      <w:r>
        <w:rPr>
          <w:rFonts w:ascii="Californian FB" w:hAnsi="Californian FB" w:cs="Times New Roman"/>
          <w:color w:val="000000"/>
          <w:sz w:val="24"/>
          <w:szCs w:val="24"/>
        </w:rPr>
        <w:t xml:space="preserve">at 204. Now that the Supreme Court has granted review in </w:t>
      </w:r>
      <w:r w:rsidRPr="00340CF9">
        <w:rPr>
          <w:rFonts w:ascii="Californian FB" w:hAnsi="Californian FB" w:cs="Times New Roman"/>
          <w:i/>
          <w:iCs/>
          <w:color w:val="000000"/>
          <w:sz w:val="24"/>
          <w:szCs w:val="24"/>
        </w:rPr>
        <w:t>Andy Warhol Foundation v. Goldsmith</w:t>
      </w:r>
      <w:r>
        <w:rPr>
          <w:rFonts w:ascii="Californian FB" w:hAnsi="Californian FB" w:cs="Times New Roman"/>
          <w:color w:val="000000"/>
          <w:sz w:val="24"/>
          <w:szCs w:val="24"/>
        </w:rPr>
        <w:t xml:space="preserve">, will it use the opportunity to clarify transformative use? We can only hope. </w:t>
      </w:r>
    </w:p>
    <w:p w14:paraId="1A052611" w14:textId="123D9DB2" w:rsidR="006D0C29" w:rsidRPr="00FF7EDF" w:rsidRDefault="00ED71C4" w:rsidP="00811D42">
      <w:pPr>
        <w:widowControl w:val="0"/>
        <w:autoSpaceDE w:val="0"/>
        <w:autoSpaceDN w:val="0"/>
        <w:adjustRightInd w:val="0"/>
        <w:spacing w:after="120" w:line="240" w:lineRule="auto"/>
        <w:jc w:val="both"/>
        <w:rPr>
          <w:rFonts w:ascii="Californian FB" w:eastAsia="Times New Roman" w:hAnsi="Californian FB" w:cstheme="minorHAnsi"/>
          <w:b/>
          <w:sz w:val="24"/>
          <w:szCs w:val="24"/>
        </w:rPr>
      </w:pPr>
      <w:r w:rsidRPr="001B0F1D">
        <w:rPr>
          <w:rFonts w:ascii="Californian FB" w:hAnsi="Californian FB" w:cs="Times New Roman"/>
          <w:color w:val="000000"/>
          <w:sz w:val="24"/>
          <w:szCs w:val="24"/>
        </w:rPr>
        <w:lastRenderedPageBreak/>
        <w:t> </w:t>
      </w:r>
    </w:p>
    <w:p w14:paraId="49667471" w14:textId="2C9C5EC8" w:rsidR="00CA2EB3" w:rsidRDefault="00E14283" w:rsidP="00ED6BE0">
      <w:pPr>
        <w:shd w:val="clear" w:color="auto" w:fill="FFFFFF"/>
        <w:rPr>
          <w:rFonts w:ascii="Californian FB" w:eastAsia="Times New Roman" w:hAnsi="Californian FB" w:cstheme="minorHAnsi"/>
          <w:b/>
          <w:sz w:val="28"/>
          <w:szCs w:val="28"/>
        </w:rPr>
      </w:pPr>
      <w:r w:rsidRPr="00E14283">
        <w:rPr>
          <w:rFonts w:ascii="Californian FB" w:eastAsia="Times New Roman" w:hAnsi="Californian FB" w:cstheme="minorHAnsi"/>
          <w:b/>
          <w:sz w:val="28"/>
          <w:szCs w:val="28"/>
        </w:rPr>
        <w:t xml:space="preserve">Chapter 6: </w:t>
      </w:r>
      <w:r w:rsidRPr="00E14283">
        <w:rPr>
          <w:rFonts w:ascii="Californian FB" w:eastAsia="Times New Roman" w:hAnsi="Californian FB" w:cstheme="minorHAnsi"/>
          <w:b/>
          <w:i/>
          <w:sz w:val="28"/>
          <w:szCs w:val="28"/>
        </w:rPr>
        <w:t>Alternative Enforcement and Protection Strategies: Secondary Liability, Self-Help, Levies</w:t>
      </w:r>
    </w:p>
    <w:p w14:paraId="3DC0EA6A" w14:textId="2E080509" w:rsidR="00D97203" w:rsidRDefault="00FF7EDF" w:rsidP="00ED6BE0">
      <w:pPr>
        <w:autoSpaceDE w:val="0"/>
        <w:autoSpaceDN w:val="0"/>
        <w:adjustRightInd w:val="0"/>
        <w:spacing w:line="240" w:lineRule="auto"/>
        <w:rPr>
          <w:rFonts w:ascii="Californian FB" w:hAnsi="Californian FB" w:cs="BerkeleyStd-Bold"/>
          <w:b/>
          <w:bCs/>
          <w:sz w:val="28"/>
          <w:szCs w:val="28"/>
        </w:rPr>
      </w:pPr>
      <w:r w:rsidRPr="00FF7EDF">
        <w:rPr>
          <w:rFonts w:ascii="Californian FB" w:hAnsi="Californian FB" w:cs="BerkeleyStd-Bold"/>
          <w:b/>
          <w:bCs/>
          <w:sz w:val="28"/>
          <w:szCs w:val="28"/>
        </w:rPr>
        <w:t>E. Shielding and Recruiting New Gatekeepers: The Treatment of Online Service Providers in Section 512</w:t>
      </w:r>
    </w:p>
    <w:p w14:paraId="04B5FD85" w14:textId="53A66410" w:rsidR="00FD0574" w:rsidRDefault="00FD0574" w:rsidP="00ED6BE0">
      <w:pPr>
        <w:autoSpaceDE w:val="0"/>
        <w:autoSpaceDN w:val="0"/>
        <w:adjustRightInd w:val="0"/>
        <w:spacing w:line="240" w:lineRule="auto"/>
        <w:rPr>
          <w:rFonts w:ascii="Californian FB" w:hAnsi="Californian FB" w:cs="BerkeleyStd-Bold"/>
          <w:sz w:val="28"/>
          <w:szCs w:val="28"/>
        </w:rPr>
      </w:pPr>
      <w:r w:rsidRPr="00FD0574">
        <w:rPr>
          <w:rFonts w:ascii="Californian FB" w:hAnsi="Californian FB" w:cs="BerkeleyStd-Bold"/>
          <w:sz w:val="28"/>
          <w:szCs w:val="28"/>
        </w:rPr>
        <w:t>p. 449</w:t>
      </w:r>
      <w:r>
        <w:rPr>
          <w:rFonts w:ascii="Californian FB" w:hAnsi="Californian FB" w:cs="BerkeleyStd-Bold"/>
          <w:sz w:val="28"/>
          <w:szCs w:val="28"/>
        </w:rPr>
        <w:t>: Replace note 6 with the following:</w:t>
      </w:r>
    </w:p>
    <w:p w14:paraId="7456DEDC" w14:textId="4D1100C6" w:rsidR="00757008" w:rsidRPr="00FD0574" w:rsidRDefault="00FD0574" w:rsidP="00757008">
      <w:pPr>
        <w:autoSpaceDE w:val="0"/>
        <w:autoSpaceDN w:val="0"/>
        <w:adjustRightInd w:val="0"/>
        <w:spacing w:after="0"/>
        <w:ind w:left="270" w:hanging="270"/>
        <w:jc w:val="both"/>
        <w:rPr>
          <w:rFonts w:ascii="Californian FB" w:hAnsi="Californian FB" w:cs="Times New Roman"/>
          <w:sz w:val="24"/>
          <w:szCs w:val="24"/>
        </w:rPr>
      </w:pPr>
      <w:r w:rsidRPr="00FD0574">
        <w:rPr>
          <w:rFonts w:ascii="Californian FB" w:hAnsi="Californian FB" w:cs="Times New Roman"/>
          <w:b/>
          <w:bCs/>
          <w:sz w:val="24"/>
          <w:szCs w:val="24"/>
        </w:rPr>
        <w:t xml:space="preserve">6. Inducement and Other Forms of Indirect Liability Under State Law. </w:t>
      </w:r>
      <w:proofErr w:type="spellStart"/>
      <w:r w:rsidR="00332554" w:rsidRPr="00332554">
        <w:rPr>
          <w:rFonts w:ascii="Californian FB" w:hAnsi="Californian FB" w:cs="Times New Roman"/>
          <w:i/>
          <w:iCs/>
          <w:sz w:val="24"/>
          <w:szCs w:val="24"/>
        </w:rPr>
        <w:t>Grokster</w:t>
      </w:r>
      <w:proofErr w:type="spellEnd"/>
      <w:r w:rsidR="00332554">
        <w:rPr>
          <w:rFonts w:ascii="Californian FB" w:hAnsi="Californian FB" w:cs="Times New Roman"/>
          <w:sz w:val="24"/>
          <w:szCs w:val="24"/>
        </w:rPr>
        <w:t xml:space="preserve"> and other cases have established that there can be indirect liability for federal copyright infringement, under theories of contributory infringement, inducement, and vicarious liability.  However, what if a plaintiff is suing under state law, regarding infringement of a work that is not protected under federal law?  Before the passage of the Music Modernization Act in 2018, this question most often arose in the context of sound recordings fixed before February 15, 1972, which were not protected by federal law.</w:t>
      </w:r>
      <w:r w:rsidRPr="00FD0574">
        <w:rPr>
          <w:rFonts w:ascii="Californian FB" w:hAnsi="Californian FB" w:cs="Times New Roman"/>
          <w:sz w:val="24"/>
          <w:szCs w:val="24"/>
        </w:rPr>
        <w:t xml:space="preserve"> In an earlier decision in the LimeWire litigation, </w:t>
      </w:r>
      <w:r w:rsidRPr="00FD0574">
        <w:rPr>
          <w:rFonts w:ascii="Californian FB" w:hAnsi="Californian FB" w:cs="Times New Roman"/>
          <w:i/>
          <w:iCs/>
          <w:sz w:val="24"/>
          <w:szCs w:val="24"/>
        </w:rPr>
        <w:t xml:space="preserve">Arista Records LLC v. Lime Group LLC, </w:t>
      </w:r>
      <w:r w:rsidRPr="00FD0574">
        <w:rPr>
          <w:rFonts w:ascii="Californian FB" w:hAnsi="Californian FB" w:cs="Times New Roman"/>
          <w:sz w:val="24"/>
          <w:szCs w:val="24"/>
        </w:rPr>
        <w:t xml:space="preserve">715 </w:t>
      </w:r>
      <w:proofErr w:type="spellStart"/>
      <w:r w:rsidRPr="00FD0574">
        <w:rPr>
          <w:rFonts w:ascii="Californian FB" w:hAnsi="Californian FB" w:cs="Times New Roman"/>
          <w:sz w:val="24"/>
          <w:szCs w:val="24"/>
        </w:rPr>
        <w:t>F.Supp</w:t>
      </w:r>
      <w:proofErr w:type="spellEnd"/>
      <w:r w:rsidRPr="00FD0574">
        <w:rPr>
          <w:rFonts w:ascii="Californian FB" w:hAnsi="Californian FB" w:cs="Times New Roman"/>
          <w:sz w:val="24"/>
          <w:szCs w:val="24"/>
        </w:rPr>
        <w:t xml:space="preserve">. 2d 481, 519–520 (S.D.N.Y. 2010), the court </w:t>
      </w:r>
      <w:r w:rsidR="00332554">
        <w:rPr>
          <w:rFonts w:ascii="Californian FB" w:hAnsi="Californian FB" w:cs="Times New Roman"/>
          <w:sz w:val="24"/>
          <w:szCs w:val="24"/>
        </w:rPr>
        <w:t xml:space="preserve">held that theories of indirect liability were available under state law.  </w:t>
      </w:r>
      <w:r w:rsidRPr="00FD0574">
        <w:rPr>
          <w:rFonts w:ascii="Californian FB" w:hAnsi="Californian FB" w:cs="Times New Roman"/>
          <w:sz w:val="24"/>
          <w:szCs w:val="24"/>
        </w:rPr>
        <w:t xml:space="preserve">It noted that the </w:t>
      </w:r>
      <w:proofErr w:type="spellStart"/>
      <w:r w:rsidRPr="00FD0574">
        <w:rPr>
          <w:rFonts w:ascii="Californian FB" w:hAnsi="Californian FB" w:cs="Times New Roman"/>
          <w:i/>
          <w:iCs/>
          <w:sz w:val="24"/>
          <w:szCs w:val="24"/>
        </w:rPr>
        <w:t>Grokster</w:t>
      </w:r>
      <w:proofErr w:type="spellEnd"/>
      <w:r w:rsidRPr="00FD0574">
        <w:rPr>
          <w:rFonts w:ascii="Californian FB" w:hAnsi="Californian FB" w:cs="Times New Roman"/>
          <w:i/>
          <w:iCs/>
          <w:sz w:val="24"/>
          <w:szCs w:val="24"/>
        </w:rPr>
        <w:t xml:space="preserve"> </w:t>
      </w:r>
      <w:r w:rsidRPr="00FD0574">
        <w:rPr>
          <w:rFonts w:ascii="Californian FB" w:hAnsi="Californian FB" w:cs="Times New Roman"/>
          <w:sz w:val="24"/>
          <w:szCs w:val="24"/>
        </w:rPr>
        <w:t>Court drew on the common law of torts in establishing federal inducement liability, and concluded that state law (in this case, the law of New York) established inducement liability on the same terms.</w:t>
      </w:r>
      <w:r w:rsidR="00332554">
        <w:rPr>
          <w:rFonts w:ascii="Californian FB" w:hAnsi="Californian FB" w:cs="Times New Roman"/>
          <w:sz w:val="24"/>
          <w:szCs w:val="24"/>
        </w:rPr>
        <w:t xml:space="preserve"> </w:t>
      </w:r>
      <w:r w:rsidR="00757008">
        <w:rPr>
          <w:rFonts w:ascii="Californian FB" w:hAnsi="Californian FB" w:cs="Times New Roman"/>
          <w:sz w:val="24"/>
          <w:szCs w:val="24"/>
        </w:rPr>
        <w:t>The Music Modernization Act</w:t>
      </w:r>
      <w:r w:rsidR="0054753B">
        <w:rPr>
          <w:rFonts w:ascii="Californian FB" w:hAnsi="Californian FB" w:cs="Times New Roman"/>
          <w:sz w:val="24"/>
          <w:szCs w:val="24"/>
        </w:rPr>
        <w:t>, discussed in detail below in the versions of Chapters 12.E. and 12.F. in this Supplement,</w:t>
      </w:r>
      <w:r w:rsidR="00757008">
        <w:rPr>
          <w:rFonts w:ascii="Californian FB" w:hAnsi="Californian FB" w:cs="Times New Roman"/>
          <w:sz w:val="24"/>
          <w:szCs w:val="24"/>
        </w:rPr>
        <w:t xml:space="preserve"> will now preempt state law as to activities concerning pre-1972 sound recordings that take place after its effective date (October 11, 2018).  Thus, the issue of indirect infringement liability under state law will soon no longer arise in the context of pre-1972 sound recordings.  The remaining area in which it could arise – unfixed works – is unlikely to generate litigation.</w:t>
      </w:r>
    </w:p>
    <w:p w14:paraId="23547AD3" w14:textId="77777777" w:rsidR="00FD0574" w:rsidRPr="00FD0574" w:rsidRDefault="00FD0574" w:rsidP="00FD0574">
      <w:pPr>
        <w:autoSpaceDE w:val="0"/>
        <w:autoSpaceDN w:val="0"/>
        <w:adjustRightInd w:val="0"/>
        <w:spacing w:after="0" w:line="240" w:lineRule="auto"/>
        <w:rPr>
          <w:rFonts w:ascii="Californian FB" w:hAnsi="Californian FB" w:cs="BerkeleyStd-Bold"/>
          <w:sz w:val="24"/>
          <w:szCs w:val="24"/>
        </w:rPr>
      </w:pPr>
    </w:p>
    <w:p w14:paraId="4BB2C2BA" w14:textId="36BC8F88" w:rsidR="00FF7EDF" w:rsidRDefault="00FF7EDF" w:rsidP="00ED6BE0">
      <w:pPr>
        <w:autoSpaceDE w:val="0"/>
        <w:autoSpaceDN w:val="0"/>
        <w:adjustRightInd w:val="0"/>
        <w:spacing w:line="240" w:lineRule="auto"/>
        <w:rPr>
          <w:rFonts w:ascii="Californian FB" w:hAnsi="Californian FB" w:cs="BerkeleyStd-Bold"/>
          <w:bCs/>
          <w:sz w:val="28"/>
          <w:szCs w:val="28"/>
        </w:rPr>
      </w:pPr>
      <w:r>
        <w:rPr>
          <w:rFonts w:ascii="Californian FB" w:hAnsi="Californian FB" w:cs="BerkeleyStd-Bold"/>
          <w:bCs/>
          <w:sz w:val="28"/>
          <w:szCs w:val="28"/>
        </w:rPr>
        <w:t>p. 464: Replace note 3 with the following:</w:t>
      </w:r>
    </w:p>
    <w:p w14:paraId="1A1060BB" w14:textId="49BC7AF3" w:rsidR="005758F8" w:rsidRDefault="000C50A5" w:rsidP="00ED6BE0">
      <w:pPr>
        <w:autoSpaceDE w:val="0"/>
        <w:autoSpaceDN w:val="0"/>
        <w:adjustRightInd w:val="0"/>
        <w:ind w:left="360" w:hanging="360"/>
        <w:jc w:val="both"/>
        <w:rPr>
          <w:rFonts w:ascii="Californian FB" w:hAnsi="Californian FB" w:cs="BerkeleyStd-Bold"/>
          <w:bCs/>
          <w:sz w:val="24"/>
          <w:szCs w:val="24"/>
        </w:rPr>
      </w:pPr>
      <w:r w:rsidRPr="000C50A5">
        <w:rPr>
          <w:rFonts w:ascii="Californian FB" w:hAnsi="Californian FB" w:cs="BerkeleyStd-Bold"/>
          <w:b/>
          <w:bCs/>
          <w:sz w:val="24"/>
          <w:szCs w:val="24"/>
        </w:rPr>
        <w:t>3. How to Violate the Requirement to Terminate Repeat Infringers</w:t>
      </w:r>
      <w:r w:rsidRPr="000C50A5">
        <w:rPr>
          <w:rFonts w:ascii="Californian FB" w:hAnsi="Californian FB" w:cs="BerkeleyStd-Bold"/>
          <w:bCs/>
          <w:sz w:val="24"/>
          <w:szCs w:val="24"/>
        </w:rPr>
        <w:t xml:space="preserve">. In </w:t>
      </w:r>
      <w:hyperlink r:id="rId165" w:history="1">
        <w:r w:rsidRPr="00C765A2">
          <w:rPr>
            <w:rStyle w:val="Hyperlink"/>
            <w:rFonts w:ascii="Californian FB" w:hAnsi="Californian FB" w:cs="BerkeleyStd-Bold"/>
            <w:bCs/>
            <w:sz w:val="24"/>
            <w:szCs w:val="24"/>
          </w:rPr>
          <w:t xml:space="preserve">BMG Rights Management (US) LLC v. Cox Communications, Inc., </w:t>
        </w:r>
        <w:r w:rsidR="00462814" w:rsidRPr="00C765A2">
          <w:rPr>
            <w:rStyle w:val="Hyperlink"/>
            <w:rFonts w:ascii="Californian FB" w:hAnsi="Californian FB" w:cs="BerkeleyStd-Bold"/>
            <w:bCs/>
            <w:sz w:val="24"/>
            <w:szCs w:val="24"/>
          </w:rPr>
          <w:t>881 F.3d 293 (4</w:t>
        </w:r>
        <w:r w:rsidR="00462814" w:rsidRPr="00C765A2">
          <w:rPr>
            <w:rStyle w:val="Hyperlink"/>
            <w:rFonts w:ascii="Californian FB" w:hAnsi="Californian FB" w:cs="BerkeleyStd-Bold"/>
            <w:bCs/>
            <w:sz w:val="24"/>
            <w:szCs w:val="24"/>
            <w:vertAlign w:val="superscript"/>
          </w:rPr>
          <w:t>th</w:t>
        </w:r>
        <w:r w:rsidR="00462814" w:rsidRPr="00C765A2">
          <w:rPr>
            <w:rStyle w:val="Hyperlink"/>
            <w:rFonts w:ascii="Californian FB" w:hAnsi="Californian FB" w:cs="BerkeleyStd-Bold"/>
            <w:bCs/>
            <w:sz w:val="24"/>
            <w:szCs w:val="24"/>
          </w:rPr>
          <w:t xml:space="preserve"> Cir. 2018)</w:t>
        </w:r>
      </w:hyperlink>
      <w:r w:rsidR="00462814">
        <w:rPr>
          <w:rFonts w:ascii="Californian FB" w:hAnsi="Californian FB" w:cs="BerkeleyStd-Bold"/>
          <w:bCs/>
          <w:sz w:val="24"/>
          <w:szCs w:val="24"/>
        </w:rPr>
        <w:t>, the Fourth Circuit upheld the Eastern District of Virginia grant of partial summary judgment to BMG, ruling</w:t>
      </w:r>
      <w:r>
        <w:rPr>
          <w:rFonts w:ascii="Californian FB" w:hAnsi="Californian FB" w:cs="BerkeleyStd-Bold"/>
          <w:bCs/>
          <w:sz w:val="24"/>
          <w:szCs w:val="24"/>
        </w:rPr>
        <w:t xml:space="preserve"> </w:t>
      </w:r>
      <w:r w:rsidRPr="000C50A5">
        <w:rPr>
          <w:rFonts w:ascii="Californian FB" w:hAnsi="Californian FB" w:cs="BerkeleyStd-Bold"/>
          <w:bCs/>
          <w:sz w:val="24"/>
          <w:szCs w:val="24"/>
        </w:rPr>
        <w:t>that Cox Communications was not entitled to a § 512 safe-harbor defense because</w:t>
      </w:r>
      <w:r>
        <w:rPr>
          <w:rFonts w:ascii="Californian FB" w:hAnsi="Californian FB" w:cs="BerkeleyStd-Bold"/>
          <w:bCs/>
          <w:sz w:val="24"/>
          <w:szCs w:val="24"/>
        </w:rPr>
        <w:t xml:space="preserve"> </w:t>
      </w:r>
      <w:r w:rsidRPr="000C50A5">
        <w:rPr>
          <w:rFonts w:ascii="Californian FB" w:hAnsi="Californian FB" w:cs="BerkeleyStd-Bold"/>
          <w:bCs/>
          <w:sz w:val="24"/>
          <w:szCs w:val="24"/>
        </w:rPr>
        <w:t>it had not reasonably implemented a policy of terminating service to repeat</w:t>
      </w:r>
      <w:r>
        <w:rPr>
          <w:rFonts w:ascii="Californian FB" w:hAnsi="Californian FB" w:cs="BerkeleyStd-Bold"/>
          <w:bCs/>
          <w:sz w:val="24"/>
          <w:szCs w:val="24"/>
        </w:rPr>
        <w:t xml:space="preserve"> </w:t>
      </w:r>
      <w:r w:rsidRPr="000C50A5">
        <w:rPr>
          <w:rFonts w:ascii="Californian FB" w:hAnsi="Californian FB" w:cs="BerkeleyStd-Bold"/>
          <w:bCs/>
          <w:sz w:val="24"/>
          <w:szCs w:val="24"/>
        </w:rPr>
        <w:t>infringers. Cox’s policy for dealing with repeat infringers was weak in a</w:t>
      </w:r>
      <w:r>
        <w:rPr>
          <w:rFonts w:ascii="Californian FB" w:hAnsi="Californian FB" w:cs="BerkeleyStd-Bold"/>
          <w:bCs/>
          <w:sz w:val="24"/>
          <w:szCs w:val="24"/>
        </w:rPr>
        <w:t xml:space="preserve"> </w:t>
      </w:r>
      <w:r w:rsidRPr="000C50A5">
        <w:rPr>
          <w:rFonts w:ascii="Californian FB" w:hAnsi="Californian FB" w:cs="BerkeleyStd-Bold"/>
          <w:bCs/>
          <w:sz w:val="24"/>
          <w:szCs w:val="24"/>
        </w:rPr>
        <w:t>remarkable number of ways. Cox only considered terminating a subscriber if it</w:t>
      </w:r>
      <w:r>
        <w:rPr>
          <w:rFonts w:ascii="Californian FB" w:hAnsi="Californian FB" w:cs="BerkeleyStd-Bold"/>
          <w:bCs/>
          <w:sz w:val="24"/>
          <w:szCs w:val="24"/>
        </w:rPr>
        <w:t xml:space="preserve"> </w:t>
      </w:r>
      <w:r w:rsidRPr="000C50A5">
        <w:rPr>
          <w:rFonts w:ascii="Californian FB" w:hAnsi="Californian FB" w:cs="BerkeleyStd-Bold"/>
          <w:bCs/>
          <w:sz w:val="24"/>
          <w:szCs w:val="24"/>
        </w:rPr>
        <w:t>had received 14 takedown notices concerning that subscriber within a six</w:t>
      </w:r>
      <w:r>
        <w:rPr>
          <w:rFonts w:ascii="Californian FB" w:hAnsi="Californian FB" w:cs="BerkeleyStd-Bold"/>
          <w:bCs/>
          <w:sz w:val="24"/>
          <w:szCs w:val="24"/>
        </w:rPr>
        <w:t>-</w:t>
      </w:r>
      <w:r w:rsidRPr="000C50A5">
        <w:rPr>
          <w:rFonts w:ascii="Californian FB" w:hAnsi="Californian FB" w:cs="BerkeleyStd-Bold"/>
          <w:bCs/>
          <w:sz w:val="24"/>
          <w:szCs w:val="24"/>
        </w:rPr>
        <w:t>month</w:t>
      </w:r>
      <w:r>
        <w:rPr>
          <w:rFonts w:ascii="Californian FB" w:hAnsi="Californian FB" w:cs="BerkeleyStd-Bold"/>
          <w:bCs/>
          <w:sz w:val="24"/>
          <w:szCs w:val="24"/>
        </w:rPr>
        <w:t xml:space="preserve"> </w:t>
      </w:r>
      <w:r w:rsidRPr="000C50A5">
        <w:rPr>
          <w:rFonts w:ascii="Californian FB" w:hAnsi="Californian FB" w:cs="BerkeleyStd-Bold"/>
          <w:bCs/>
          <w:sz w:val="24"/>
          <w:szCs w:val="24"/>
        </w:rPr>
        <w:t>period. Cox would only count the first notice concerning a subscriber</w:t>
      </w:r>
      <w:r>
        <w:rPr>
          <w:rFonts w:ascii="Californian FB" w:hAnsi="Californian FB" w:cs="BerkeleyStd-Bold"/>
          <w:bCs/>
          <w:sz w:val="24"/>
          <w:szCs w:val="24"/>
        </w:rPr>
        <w:t xml:space="preserve"> </w:t>
      </w:r>
      <w:r w:rsidRPr="000C50A5">
        <w:rPr>
          <w:rFonts w:ascii="Californian FB" w:hAnsi="Californian FB" w:cs="BerkeleyStd-Bold"/>
          <w:bCs/>
          <w:sz w:val="24"/>
          <w:szCs w:val="24"/>
        </w:rPr>
        <w:t>received on any particular day; it would not count any other notice concerning</w:t>
      </w:r>
      <w:r>
        <w:rPr>
          <w:rFonts w:ascii="Californian FB" w:hAnsi="Californian FB" w:cs="BerkeleyStd-Bold"/>
          <w:bCs/>
          <w:sz w:val="24"/>
          <w:szCs w:val="24"/>
        </w:rPr>
        <w:t xml:space="preserve"> </w:t>
      </w:r>
      <w:r w:rsidRPr="000C50A5">
        <w:rPr>
          <w:rFonts w:ascii="Californian FB" w:hAnsi="Californian FB" w:cs="BerkeleyStd-Bold"/>
          <w:bCs/>
          <w:sz w:val="24"/>
          <w:szCs w:val="24"/>
        </w:rPr>
        <w:t>that subscriber received on the same day. As a general matter, Cox would accept</w:t>
      </w:r>
      <w:r>
        <w:rPr>
          <w:rFonts w:ascii="Californian FB" w:hAnsi="Californian FB" w:cs="BerkeleyStd-Bold"/>
          <w:bCs/>
          <w:sz w:val="24"/>
          <w:szCs w:val="24"/>
        </w:rPr>
        <w:t xml:space="preserve"> </w:t>
      </w:r>
      <w:r w:rsidRPr="000C50A5">
        <w:rPr>
          <w:rFonts w:ascii="Californian FB" w:hAnsi="Californian FB" w:cs="BerkeleyStd-Bold"/>
          <w:bCs/>
          <w:sz w:val="24"/>
          <w:szCs w:val="24"/>
        </w:rPr>
        <w:t>no more than 200 takedown notices per day from a copyright holder, regardless</w:t>
      </w:r>
      <w:r>
        <w:rPr>
          <w:rFonts w:ascii="Californian FB" w:hAnsi="Californian FB" w:cs="BerkeleyStd-Bold"/>
          <w:bCs/>
          <w:sz w:val="24"/>
          <w:szCs w:val="24"/>
        </w:rPr>
        <w:t xml:space="preserve"> </w:t>
      </w:r>
      <w:r w:rsidRPr="000C50A5">
        <w:rPr>
          <w:rFonts w:ascii="Californian FB" w:hAnsi="Californian FB" w:cs="BerkeleyStd-Bold"/>
          <w:bCs/>
          <w:sz w:val="24"/>
          <w:szCs w:val="24"/>
        </w:rPr>
        <w:t xml:space="preserve">of how much infringing material it might have been hosting. </w:t>
      </w:r>
      <w:r w:rsidR="00462814">
        <w:rPr>
          <w:rFonts w:ascii="Californian FB" w:hAnsi="Californian FB" w:cs="BerkeleyStd-Bold"/>
          <w:bCs/>
          <w:sz w:val="24"/>
          <w:szCs w:val="24"/>
        </w:rPr>
        <w:t>In addition, bef</w:t>
      </w:r>
      <w:r w:rsidRPr="000C50A5">
        <w:rPr>
          <w:rFonts w:ascii="Californian FB" w:hAnsi="Californian FB" w:cs="BerkeleyStd-Bold"/>
          <w:bCs/>
          <w:sz w:val="24"/>
          <w:szCs w:val="24"/>
        </w:rPr>
        <w:t>ore</w:t>
      </w:r>
      <w:r>
        <w:rPr>
          <w:rFonts w:ascii="Californian FB" w:hAnsi="Californian FB" w:cs="BerkeleyStd-Bold"/>
          <w:bCs/>
          <w:sz w:val="24"/>
          <w:szCs w:val="24"/>
        </w:rPr>
        <w:t xml:space="preserve"> </w:t>
      </w:r>
      <w:r w:rsidRPr="000C50A5">
        <w:rPr>
          <w:rFonts w:ascii="Californian FB" w:hAnsi="Californian FB" w:cs="BerkeleyStd-Bold"/>
          <w:bCs/>
          <w:sz w:val="24"/>
          <w:szCs w:val="24"/>
        </w:rPr>
        <w:t>2012, in the relatively few cases in which a subscriber received fourteen notices</w:t>
      </w:r>
      <w:r>
        <w:rPr>
          <w:rFonts w:ascii="Californian FB" w:hAnsi="Californian FB" w:cs="BerkeleyStd-Bold"/>
          <w:bCs/>
          <w:sz w:val="24"/>
          <w:szCs w:val="24"/>
        </w:rPr>
        <w:t xml:space="preserve"> </w:t>
      </w:r>
      <w:r w:rsidRPr="000C50A5">
        <w:rPr>
          <w:rFonts w:ascii="Californian FB" w:hAnsi="Californian FB" w:cs="BerkeleyStd-Bold"/>
          <w:bCs/>
          <w:sz w:val="24"/>
          <w:szCs w:val="24"/>
        </w:rPr>
        <w:t>in six months, Cox did not actually terminate services to the subscriber. Rather,</w:t>
      </w:r>
      <w:r>
        <w:rPr>
          <w:rFonts w:ascii="Californian FB" w:hAnsi="Californian FB" w:cs="BerkeleyStd-Bold"/>
          <w:bCs/>
          <w:sz w:val="24"/>
          <w:szCs w:val="24"/>
        </w:rPr>
        <w:t xml:space="preserve"> </w:t>
      </w:r>
      <w:r w:rsidRPr="000C50A5">
        <w:rPr>
          <w:rFonts w:ascii="Californian FB" w:hAnsi="Californian FB" w:cs="BerkeleyStd-Bold"/>
          <w:bCs/>
          <w:sz w:val="24"/>
          <w:szCs w:val="24"/>
        </w:rPr>
        <w:t>it nominally terminated services but reactivated accounts upon request, as documented</w:t>
      </w:r>
      <w:r>
        <w:rPr>
          <w:rFonts w:ascii="Californian FB" w:hAnsi="Californian FB" w:cs="BerkeleyStd-Bold"/>
          <w:bCs/>
          <w:sz w:val="24"/>
          <w:szCs w:val="24"/>
        </w:rPr>
        <w:t xml:space="preserve"> </w:t>
      </w:r>
      <w:r w:rsidRPr="000C50A5">
        <w:rPr>
          <w:rFonts w:ascii="Californian FB" w:hAnsi="Californian FB" w:cs="BerkeleyStd-Bold"/>
          <w:bCs/>
          <w:sz w:val="24"/>
          <w:szCs w:val="24"/>
        </w:rPr>
        <w:t>in emails reminding Cox employees about how much revenue Cox</w:t>
      </w:r>
      <w:r>
        <w:rPr>
          <w:rFonts w:ascii="Californian FB" w:hAnsi="Californian FB" w:cs="BerkeleyStd-Bold"/>
          <w:bCs/>
          <w:sz w:val="24"/>
          <w:szCs w:val="24"/>
        </w:rPr>
        <w:t xml:space="preserve"> </w:t>
      </w:r>
      <w:r w:rsidRPr="000C50A5">
        <w:rPr>
          <w:rFonts w:ascii="Californian FB" w:hAnsi="Californian FB" w:cs="BerkeleyStd-Bold"/>
          <w:bCs/>
          <w:sz w:val="24"/>
          <w:szCs w:val="24"/>
        </w:rPr>
        <w:lastRenderedPageBreak/>
        <w:t>would lose if the subscribers were actually terminated. In 2012, Cox decided</w:t>
      </w:r>
      <w:r>
        <w:rPr>
          <w:rFonts w:ascii="Californian FB" w:hAnsi="Californian FB" w:cs="BerkeleyStd-Bold"/>
          <w:bCs/>
          <w:sz w:val="24"/>
          <w:szCs w:val="24"/>
        </w:rPr>
        <w:t xml:space="preserve"> </w:t>
      </w:r>
      <w:r w:rsidRPr="000C50A5">
        <w:rPr>
          <w:rFonts w:ascii="Californian FB" w:hAnsi="Californian FB" w:cs="BerkeleyStd-Bold"/>
          <w:bCs/>
          <w:sz w:val="24"/>
          <w:szCs w:val="24"/>
        </w:rPr>
        <w:t>that if it was going to terminate a subscriber, it would do so for at least six</w:t>
      </w:r>
      <w:r>
        <w:rPr>
          <w:rFonts w:ascii="Californian FB" w:hAnsi="Californian FB" w:cs="BerkeleyStd-Bold"/>
          <w:bCs/>
          <w:sz w:val="24"/>
          <w:szCs w:val="24"/>
        </w:rPr>
        <w:t xml:space="preserve"> </w:t>
      </w:r>
      <w:r w:rsidRPr="000C50A5">
        <w:rPr>
          <w:rFonts w:ascii="Californian FB" w:hAnsi="Californian FB" w:cs="BerkeleyStd-Bold"/>
          <w:bCs/>
          <w:sz w:val="24"/>
          <w:szCs w:val="24"/>
        </w:rPr>
        <w:t>months; but that caused it to virtually cease terminations, dropping from 15.5</w:t>
      </w:r>
      <w:r>
        <w:rPr>
          <w:rFonts w:ascii="Californian FB" w:hAnsi="Californian FB" w:cs="BerkeleyStd-Bold"/>
          <w:bCs/>
          <w:sz w:val="24"/>
          <w:szCs w:val="24"/>
        </w:rPr>
        <w:t xml:space="preserve"> </w:t>
      </w:r>
      <w:r w:rsidRPr="000C50A5">
        <w:rPr>
          <w:rFonts w:ascii="Californian FB" w:hAnsi="Californian FB" w:cs="BerkeleyStd-Bold"/>
          <w:bCs/>
          <w:sz w:val="24"/>
          <w:szCs w:val="24"/>
        </w:rPr>
        <w:t>terminations per month during the period from January 2010 through August</w:t>
      </w:r>
      <w:r>
        <w:rPr>
          <w:rFonts w:ascii="Californian FB" w:hAnsi="Californian FB" w:cs="BerkeleyStd-Bold"/>
          <w:bCs/>
          <w:sz w:val="24"/>
          <w:szCs w:val="24"/>
        </w:rPr>
        <w:t xml:space="preserve"> </w:t>
      </w:r>
      <w:r w:rsidRPr="000C50A5">
        <w:rPr>
          <w:rFonts w:ascii="Californian FB" w:hAnsi="Californian FB" w:cs="BerkeleyStd-Bold"/>
          <w:bCs/>
          <w:sz w:val="24"/>
          <w:szCs w:val="24"/>
        </w:rPr>
        <w:t>2012, to 0.8 terminations per month during the period from September 2012</w:t>
      </w:r>
      <w:r>
        <w:rPr>
          <w:rFonts w:ascii="Californian FB" w:hAnsi="Californian FB" w:cs="BerkeleyStd-Bold"/>
          <w:bCs/>
          <w:sz w:val="24"/>
          <w:szCs w:val="24"/>
        </w:rPr>
        <w:t xml:space="preserve"> </w:t>
      </w:r>
      <w:r w:rsidRPr="000C50A5">
        <w:rPr>
          <w:rFonts w:ascii="Californian FB" w:hAnsi="Californian FB" w:cs="BerkeleyStd-Bold"/>
          <w:bCs/>
          <w:sz w:val="24"/>
          <w:szCs w:val="24"/>
        </w:rPr>
        <w:t xml:space="preserve">through November 2014. </w:t>
      </w:r>
    </w:p>
    <w:p w14:paraId="221B4615" w14:textId="53468F9A" w:rsidR="000C50A5" w:rsidRDefault="005758F8" w:rsidP="00ED6BE0">
      <w:pPr>
        <w:autoSpaceDE w:val="0"/>
        <w:autoSpaceDN w:val="0"/>
        <w:adjustRightInd w:val="0"/>
        <w:ind w:left="360" w:firstLine="360"/>
        <w:jc w:val="both"/>
        <w:rPr>
          <w:rFonts w:ascii="Californian FB" w:hAnsi="Californian FB" w:cs="BerkeleyStd-Bold"/>
          <w:bCs/>
          <w:sz w:val="24"/>
          <w:szCs w:val="24"/>
        </w:rPr>
      </w:pPr>
      <w:r>
        <w:rPr>
          <w:rFonts w:ascii="Californian FB" w:hAnsi="Californian FB" w:cs="BerkeleyStd-Bold"/>
          <w:bCs/>
          <w:sz w:val="24"/>
          <w:szCs w:val="24"/>
        </w:rPr>
        <w:t>The Fourth Circuit, agreeing with the District Court, concluded that Cox “</w:t>
      </w:r>
      <w:r w:rsidRPr="005758F8">
        <w:rPr>
          <w:rFonts w:ascii="Californian FB" w:hAnsi="Californian FB" w:cs="BerkeleyStd-Bold"/>
          <w:bCs/>
          <w:sz w:val="24"/>
          <w:szCs w:val="24"/>
        </w:rPr>
        <w:t>failed to implement its policy in any consistent or meaningful way—leaving it essentially with no policy.</w:t>
      </w:r>
      <w:r>
        <w:rPr>
          <w:rFonts w:ascii="Californian FB" w:hAnsi="Californian FB" w:cs="BerkeleyStd-Bold"/>
          <w:bCs/>
          <w:sz w:val="24"/>
          <w:szCs w:val="24"/>
        </w:rPr>
        <w:t xml:space="preserve">”  It rejected Cox’s argument that </w:t>
      </w:r>
      <w:r w:rsidRPr="000C50A5">
        <w:rPr>
          <w:rFonts w:ascii="Californian FB" w:hAnsi="Californian FB" w:cs="BerkeleyStd-Bold"/>
          <w:bCs/>
          <w:sz w:val="24"/>
          <w:szCs w:val="24"/>
        </w:rPr>
        <w:t>§ 512</w:t>
      </w:r>
      <w:r>
        <w:rPr>
          <w:rFonts w:ascii="Californian FB" w:hAnsi="Californian FB" w:cs="BerkeleyStd-Bold"/>
          <w:bCs/>
          <w:sz w:val="24"/>
          <w:szCs w:val="24"/>
        </w:rPr>
        <w:t xml:space="preserve"> imposed only an obligation to terminate repeat </w:t>
      </w:r>
      <w:r>
        <w:rPr>
          <w:rFonts w:ascii="Californian FB" w:hAnsi="Californian FB" w:cs="BerkeleyStd-Bold"/>
          <w:bCs/>
          <w:i/>
          <w:sz w:val="24"/>
          <w:szCs w:val="24"/>
        </w:rPr>
        <w:t xml:space="preserve">adjudicated </w:t>
      </w:r>
      <w:r>
        <w:rPr>
          <w:rFonts w:ascii="Californian FB" w:hAnsi="Californian FB" w:cs="BerkeleyStd-Bold"/>
          <w:bCs/>
          <w:sz w:val="24"/>
          <w:szCs w:val="24"/>
        </w:rPr>
        <w:t>infringers, which would allow it to do nothing until a court ruled that a subscriber had repeatedly infringed. That interpretation was not supported by the statutory language, and as a policy matter, “</w:t>
      </w:r>
      <w:r w:rsidRPr="005758F8">
        <w:rPr>
          <w:rFonts w:ascii="Californian FB" w:hAnsi="Californian FB" w:cs="BerkeleyStd-Bold"/>
          <w:bCs/>
          <w:sz w:val="24"/>
          <w:szCs w:val="24"/>
        </w:rPr>
        <w:t>the risk of losing one’s Internet access would</w:t>
      </w:r>
      <w:r>
        <w:rPr>
          <w:rFonts w:ascii="Californian FB" w:hAnsi="Californian FB" w:cs="BerkeleyStd-Bold"/>
          <w:bCs/>
          <w:sz w:val="24"/>
          <w:szCs w:val="24"/>
        </w:rPr>
        <w:t xml:space="preserve"> hardly constitute a ‘</w:t>
      </w:r>
      <w:r w:rsidRPr="005758F8">
        <w:rPr>
          <w:rFonts w:ascii="Californian FB" w:hAnsi="Californian FB" w:cs="BerkeleyStd-Bold"/>
          <w:bCs/>
          <w:sz w:val="24"/>
          <w:szCs w:val="24"/>
        </w:rPr>
        <w:t>realistic threat</w:t>
      </w:r>
      <w:r>
        <w:rPr>
          <w:rFonts w:ascii="Californian FB" w:hAnsi="Californian FB" w:cs="BerkeleyStd-Bold"/>
          <w:bCs/>
          <w:sz w:val="24"/>
          <w:szCs w:val="24"/>
        </w:rPr>
        <w:t>’</w:t>
      </w:r>
      <w:r w:rsidRPr="005758F8">
        <w:rPr>
          <w:rFonts w:ascii="Californian FB" w:hAnsi="Californian FB" w:cs="BerkeleyStd-Bold"/>
          <w:bCs/>
          <w:sz w:val="24"/>
          <w:szCs w:val="24"/>
        </w:rPr>
        <w:t xml:space="preserve"> capable of deterring infringement if that punishment applied only to those already subject to civil penalties and legal fees as adjudicated infringers.</w:t>
      </w:r>
      <w:r>
        <w:rPr>
          <w:rFonts w:ascii="Californian FB" w:hAnsi="Californian FB" w:cs="BerkeleyStd-Bold"/>
          <w:bCs/>
          <w:sz w:val="24"/>
          <w:szCs w:val="24"/>
        </w:rPr>
        <w:t>”</w:t>
      </w:r>
    </w:p>
    <w:p w14:paraId="18F2C380" w14:textId="5EC59B6F" w:rsidR="005758F8" w:rsidRDefault="005758F8" w:rsidP="00ED6BE0">
      <w:pPr>
        <w:autoSpaceDE w:val="0"/>
        <w:autoSpaceDN w:val="0"/>
        <w:adjustRightInd w:val="0"/>
        <w:ind w:left="360" w:hanging="360"/>
        <w:jc w:val="both"/>
        <w:rPr>
          <w:rFonts w:ascii="Californian FB" w:hAnsi="Californian FB" w:cs="BerkeleyStd-Bold"/>
          <w:bCs/>
          <w:sz w:val="24"/>
          <w:szCs w:val="24"/>
        </w:rPr>
      </w:pPr>
      <w:r>
        <w:rPr>
          <w:rFonts w:ascii="Californian FB" w:hAnsi="Californian FB" w:cs="BerkeleyStd-Bold"/>
          <w:b/>
          <w:bCs/>
          <w:sz w:val="24"/>
          <w:szCs w:val="24"/>
        </w:rPr>
        <w:t xml:space="preserve">3A. </w:t>
      </w:r>
      <w:r w:rsidR="00C765A2">
        <w:rPr>
          <w:rFonts w:ascii="Californian FB" w:hAnsi="Californian FB" w:cs="BerkeleyStd-Bold"/>
          <w:b/>
          <w:bCs/>
          <w:sz w:val="24"/>
          <w:szCs w:val="24"/>
        </w:rPr>
        <w:t xml:space="preserve">If You’re a Small Business, </w:t>
      </w:r>
      <w:r>
        <w:rPr>
          <w:rFonts w:ascii="Californian FB" w:hAnsi="Californian FB" w:cs="BerkeleyStd-Bold"/>
          <w:b/>
          <w:bCs/>
          <w:sz w:val="24"/>
          <w:szCs w:val="24"/>
        </w:rPr>
        <w:t xml:space="preserve">How Informal Can </w:t>
      </w:r>
      <w:r w:rsidR="00C765A2">
        <w:rPr>
          <w:rFonts w:ascii="Californian FB" w:hAnsi="Californian FB" w:cs="BerkeleyStd-Bold"/>
          <w:b/>
          <w:bCs/>
          <w:sz w:val="24"/>
          <w:szCs w:val="24"/>
        </w:rPr>
        <w:t>Your</w:t>
      </w:r>
      <w:r>
        <w:rPr>
          <w:rFonts w:ascii="Californian FB" w:hAnsi="Californian FB" w:cs="BerkeleyStd-Bold"/>
          <w:b/>
          <w:bCs/>
          <w:sz w:val="24"/>
          <w:szCs w:val="24"/>
        </w:rPr>
        <w:t xml:space="preserve"> Repeat Infringer Termination Polic</w:t>
      </w:r>
      <w:r w:rsidR="00C765A2">
        <w:rPr>
          <w:rFonts w:ascii="Californian FB" w:hAnsi="Californian FB" w:cs="BerkeleyStd-Bold"/>
          <w:b/>
          <w:bCs/>
          <w:sz w:val="24"/>
          <w:szCs w:val="24"/>
        </w:rPr>
        <w:t>y Be?</w:t>
      </w:r>
      <w:r>
        <w:rPr>
          <w:rFonts w:ascii="Californian FB" w:hAnsi="Californian FB" w:cs="BerkeleyStd-Bold"/>
          <w:b/>
          <w:bCs/>
          <w:sz w:val="24"/>
          <w:szCs w:val="24"/>
        </w:rPr>
        <w:t xml:space="preserve">  </w:t>
      </w:r>
      <w:r w:rsidR="00C765A2">
        <w:rPr>
          <w:rFonts w:ascii="Californian FB" w:hAnsi="Californian FB" w:cs="BerkeleyStd-Bold"/>
          <w:bCs/>
          <w:sz w:val="24"/>
          <w:szCs w:val="24"/>
        </w:rPr>
        <w:t xml:space="preserve">According to </w:t>
      </w:r>
      <w:r w:rsidR="005E748E">
        <w:rPr>
          <w:rFonts w:ascii="Californian FB" w:hAnsi="Californian FB" w:cs="BerkeleyStd-Bold"/>
          <w:bCs/>
          <w:sz w:val="24"/>
          <w:szCs w:val="24"/>
        </w:rPr>
        <w:t xml:space="preserve">a split </w:t>
      </w:r>
      <w:r w:rsidR="00C765A2">
        <w:rPr>
          <w:rFonts w:ascii="Californian FB" w:hAnsi="Californian FB" w:cs="BerkeleyStd-Bold"/>
          <w:bCs/>
          <w:sz w:val="24"/>
          <w:szCs w:val="24"/>
        </w:rPr>
        <w:t>Ninth Circuit</w:t>
      </w:r>
      <w:r w:rsidR="005E748E">
        <w:rPr>
          <w:rFonts w:ascii="Californian FB" w:hAnsi="Californian FB" w:cs="BerkeleyStd-Bold"/>
          <w:bCs/>
          <w:sz w:val="24"/>
          <w:szCs w:val="24"/>
        </w:rPr>
        <w:t xml:space="preserve"> panel</w:t>
      </w:r>
      <w:r w:rsidR="00C765A2">
        <w:rPr>
          <w:rFonts w:ascii="Californian FB" w:hAnsi="Californian FB" w:cs="BerkeleyStd-Bold"/>
          <w:bCs/>
          <w:sz w:val="24"/>
          <w:szCs w:val="24"/>
        </w:rPr>
        <w:t xml:space="preserve">, pretty informal. In </w:t>
      </w:r>
      <w:hyperlink r:id="rId166" w:history="1">
        <w:r w:rsidR="00C765A2" w:rsidRPr="00C765A2">
          <w:rPr>
            <w:rStyle w:val="Hyperlink"/>
            <w:rFonts w:ascii="Californian FB" w:hAnsi="Californian FB" w:cs="BerkeleyStd-Bold"/>
            <w:bCs/>
            <w:sz w:val="24"/>
            <w:szCs w:val="24"/>
          </w:rPr>
          <w:t>Ventura Content, Ltd. v. Motherless, Inc., 885 F.3d 597 (9</w:t>
        </w:r>
        <w:r w:rsidR="00C765A2" w:rsidRPr="00C765A2">
          <w:rPr>
            <w:rStyle w:val="Hyperlink"/>
            <w:rFonts w:ascii="Californian FB" w:hAnsi="Californian FB" w:cs="BerkeleyStd-Bold"/>
            <w:bCs/>
            <w:sz w:val="24"/>
            <w:szCs w:val="24"/>
            <w:vertAlign w:val="superscript"/>
          </w:rPr>
          <w:t>th</w:t>
        </w:r>
        <w:r w:rsidR="00C765A2" w:rsidRPr="00C765A2">
          <w:rPr>
            <w:rStyle w:val="Hyperlink"/>
            <w:rFonts w:ascii="Californian FB" w:hAnsi="Californian FB" w:cs="BerkeleyStd-Bold"/>
            <w:bCs/>
            <w:sz w:val="24"/>
            <w:szCs w:val="24"/>
          </w:rPr>
          <w:t xml:space="preserve"> Cir. 2018)</w:t>
        </w:r>
      </w:hyperlink>
      <w:r w:rsidR="00C765A2">
        <w:rPr>
          <w:rFonts w:ascii="Californian FB" w:hAnsi="Californian FB" w:cs="BerkeleyStd-Bold"/>
          <w:bCs/>
          <w:sz w:val="24"/>
          <w:szCs w:val="24"/>
        </w:rPr>
        <w:t>, Joshua Lange was the owner and sole employee of defendant Motherless, Inc., which operated the website motherless.com</w:t>
      </w:r>
      <w:r w:rsidR="005E748E">
        <w:rPr>
          <w:rFonts w:ascii="Californian FB" w:hAnsi="Californian FB" w:cs="BerkeleyStd-Bold"/>
          <w:bCs/>
          <w:sz w:val="24"/>
          <w:szCs w:val="24"/>
        </w:rPr>
        <w:t>.  The approximately 611,000 daily v</w:t>
      </w:r>
      <w:r w:rsidR="00C765A2">
        <w:rPr>
          <w:rFonts w:ascii="Californian FB" w:hAnsi="Californian FB" w:cs="BerkeleyStd-Bold"/>
          <w:bCs/>
          <w:sz w:val="24"/>
          <w:szCs w:val="24"/>
        </w:rPr>
        <w:t xml:space="preserve">isitors </w:t>
      </w:r>
      <w:r w:rsidR="005E748E">
        <w:rPr>
          <w:rFonts w:ascii="Californian FB" w:hAnsi="Californian FB" w:cs="BerkeleyStd-Bold"/>
          <w:bCs/>
          <w:sz w:val="24"/>
          <w:szCs w:val="24"/>
        </w:rPr>
        <w:t xml:space="preserve">to motherless.com </w:t>
      </w:r>
      <w:r w:rsidR="00C765A2">
        <w:rPr>
          <w:rFonts w:ascii="Californian FB" w:hAnsi="Californian FB" w:cs="BerkeleyStd-Bold"/>
          <w:bCs/>
          <w:sz w:val="24"/>
          <w:szCs w:val="24"/>
        </w:rPr>
        <w:t xml:space="preserve">could find 12.6 million user-uploaded pornographic video clips and photographs. Think </w:t>
      </w:r>
      <w:r w:rsidR="00BE1A6D">
        <w:rPr>
          <w:rFonts w:ascii="Californian FB" w:hAnsi="Californian FB" w:cs="BerkeleyStd-Bold"/>
          <w:bCs/>
          <w:sz w:val="24"/>
          <w:szCs w:val="24"/>
        </w:rPr>
        <w:t>mini-</w:t>
      </w:r>
      <w:r w:rsidR="00C765A2">
        <w:rPr>
          <w:rFonts w:ascii="Californian FB" w:hAnsi="Californian FB" w:cs="BerkeleyStd-Bold"/>
          <w:bCs/>
          <w:sz w:val="24"/>
          <w:szCs w:val="24"/>
        </w:rPr>
        <w:t xml:space="preserve">YouTube and </w:t>
      </w:r>
      <w:r w:rsidR="00BE1A6D">
        <w:rPr>
          <w:rFonts w:ascii="Californian FB" w:hAnsi="Californian FB" w:cs="BerkeleyStd-Bold"/>
          <w:bCs/>
          <w:sz w:val="24"/>
          <w:szCs w:val="24"/>
        </w:rPr>
        <w:t>mini-</w:t>
      </w:r>
      <w:r w:rsidR="00C765A2">
        <w:rPr>
          <w:rFonts w:ascii="Californian FB" w:hAnsi="Californian FB" w:cs="BerkeleyStd-Bold"/>
          <w:bCs/>
          <w:sz w:val="24"/>
          <w:szCs w:val="24"/>
        </w:rPr>
        <w:t xml:space="preserve">Flickr combined, but with content that those sites would not allow.  You may be shocked to learn that some of the users did not own copyright in the material that they uploaded to motherless.com. One producer of such material, Ventura Content, sued Motherless. The District Court granted partial summary judgment to Motherless, holding that it qualified for the </w:t>
      </w:r>
      <w:r w:rsidR="00C765A2" w:rsidRPr="00C765A2">
        <w:rPr>
          <w:rFonts w:ascii="Californian FB" w:hAnsi="Californian FB" w:cs="Calibri"/>
          <w:bCs/>
          <w:sz w:val="24"/>
          <w:szCs w:val="24"/>
        </w:rPr>
        <w:t xml:space="preserve">§ </w:t>
      </w:r>
      <w:r w:rsidR="00C765A2" w:rsidRPr="00C765A2">
        <w:rPr>
          <w:rFonts w:ascii="Californian FB" w:hAnsi="Californian FB" w:cs="BerkeleyStd-Bold"/>
          <w:bCs/>
          <w:sz w:val="24"/>
          <w:szCs w:val="24"/>
        </w:rPr>
        <w:t xml:space="preserve">512 </w:t>
      </w:r>
      <w:r w:rsidR="00C765A2">
        <w:rPr>
          <w:rFonts w:ascii="Californian FB" w:hAnsi="Californian FB" w:cs="BerkeleyStd-Bold"/>
          <w:bCs/>
          <w:sz w:val="24"/>
          <w:szCs w:val="24"/>
        </w:rPr>
        <w:t xml:space="preserve">safe harbor.  On appeal, Ventura Content’s principal argument was that Motherless had not reasonably implemented a policy of terminating repeat infringers.  Indeed, Motherless </w:t>
      </w:r>
      <w:r w:rsidR="005016BD">
        <w:rPr>
          <w:rFonts w:ascii="Californian FB" w:hAnsi="Californian FB" w:cs="BerkeleyStd-Bold"/>
          <w:bCs/>
          <w:sz w:val="24"/>
          <w:szCs w:val="24"/>
        </w:rPr>
        <w:t xml:space="preserve">completely lacked any </w:t>
      </w:r>
      <w:r w:rsidR="00C765A2">
        <w:rPr>
          <w:rFonts w:ascii="Californian FB" w:hAnsi="Californian FB" w:cs="BerkeleyStd-Bold"/>
          <w:bCs/>
          <w:sz w:val="24"/>
          <w:szCs w:val="24"/>
        </w:rPr>
        <w:t xml:space="preserve">written policy of when to terminate repeat infringers.  Mr. Lange, who was solely responsible for </w:t>
      </w:r>
      <w:r w:rsidR="005016BD">
        <w:rPr>
          <w:rFonts w:ascii="Californian FB" w:hAnsi="Californian FB" w:cs="BerkeleyStd-Bold"/>
          <w:bCs/>
          <w:sz w:val="24"/>
          <w:szCs w:val="24"/>
        </w:rPr>
        <w:t xml:space="preserve">those </w:t>
      </w:r>
      <w:r w:rsidR="00C765A2">
        <w:rPr>
          <w:rFonts w:ascii="Californian FB" w:hAnsi="Californian FB" w:cs="BerkeleyStd-Bold"/>
          <w:bCs/>
          <w:sz w:val="24"/>
          <w:szCs w:val="24"/>
        </w:rPr>
        <w:t>terminat</w:t>
      </w:r>
      <w:r w:rsidR="005016BD">
        <w:rPr>
          <w:rFonts w:ascii="Californian FB" w:hAnsi="Californian FB" w:cs="BerkeleyStd-Bold"/>
          <w:bCs/>
          <w:sz w:val="24"/>
          <w:szCs w:val="24"/>
        </w:rPr>
        <w:t>ions</w:t>
      </w:r>
      <w:r w:rsidR="00C765A2">
        <w:rPr>
          <w:rFonts w:ascii="Californian FB" w:hAnsi="Californian FB" w:cs="BerkeleyStd-Bold"/>
          <w:bCs/>
          <w:sz w:val="24"/>
          <w:szCs w:val="24"/>
        </w:rPr>
        <w:t>, apparently made such decisions by weighing a variety of factors, which evidently were not written in advance either, but reconstructed after the fact.  Those factors included:</w:t>
      </w:r>
    </w:p>
    <w:p w14:paraId="47782CE4" w14:textId="6C8E759D" w:rsidR="00C765A2" w:rsidRDefault="00C765A2" w:rsidP="00ED6BE0">
      <w:pPr>
        <w:autoSpaceDE w:val="0"/>
        <w:autoSpaceDN w:val="0"/>
        <w:adjustRightInd w:val="0"/>
        <w:ind w:left="900"/>
        <w:jc w:val="both"/>
        <w:rPr>
          <w:rFonts w:ascii="Californian FB" w:hAnsi="Californian FB" w:cs="BerkeleyStd-Bold"/>
          <w:bCs/>
          <w:sz w:val="24"/>
          <w:szCs w:val="24"/>
        </w:rPr>
      </w:pPr>
      <w:r w:rsidRPr="00C765A2">
        <w:rPr>
          <w:rFonts w:ascii="Californian FB" w:hAnsi="Californian FB" w:cs="BerkeleyStd-Bold"/>
          <w:bCs/>
          <w:sz w:val="24"/>
          <w:szCs w:val="24"/>
        </w:rPr>
        <w:t>(1) the volume of complaints; (2) the amount of linked content in the complaints; (3) the timespan between notices; (4) the length of time the alleged infringer’s account had been active; (5) the amount of total content the account has; (6) whether the user is maliciously and intentionally uploading infringing content or uploading content without knowing the source; and (7) whether the takedown notices were DMCA-compliant.</w:t>
      </w:r>
    </w:p>
    <w:p w14:paraId="1577CB28" w14:textId="1382ACCC" w:rsidR="00C765A2" w:rsidRDefault="00C765A2" w:rsidP="00ED6BE0">
      <w:pPr>
        <w:autoSpaceDE w:val="0"/>
        <w:autoSpaceDN w:val="0"/>
        <w:adjustRightInd w:val="0"/>
        <w:ind w:left="360"/>
        <w:jc w:val="both"/>
        <w:rPr>
          <w:rFonts w:ascii="Californian FB" w:hAnsi="Californian FB" w:cs="BerkeleyStd-Bold"/>
          <w:bCs/>
          <w:sz w:val="24"/>
          <w:szCs w:val="24"/>
        </w:rPr>
      </w:pPr>
      <w:r>
        <w:rPr>
          <w:rFonts w:ascii="Californian FB" w:hAnsi="Californian FB" w:cs="BerkeleyStd-Bold"/>
          <w:bCs/>
          <w:sz w:val="24"/>
          <w:szCs w:val="24"/>
        </w:rPr>
        <w:t>Lange estimated that over a three-year period, he had terminated between 1,320 and 1,980 user accounts for possible copyright</w:t>
      </w:r>
      <w:r w:rsidR="00BE247C">
        <w:rPr>
          <w:rFonts w:ascii="Californian FB" w:hAnsi="Californian FB" w:cs="BerkeleyStd-Bold"/>
          <w:bCs/>
          <w:sz w:val="24"/>
          <w:szCs w:val="24"/>
        </w:rPr>
        <w:t xml:space="preserve"> infringement, out of a total of about 750,000 active users (although it is unlikely that all of those were uploading content); there was record evidence</w:t>
      </w:r>
      <w:r w:rsidR="005016BD">
        <w:rPr>
          <w:rFonts w:ascii="Californian FB" w:hAnsi="Californian FB" w:cs="BerkeleyStd-Bold"/>
          <w:bCs/>
          <w:sz w:val="24"/>
          <w:szCs w:val="24"/>
        </w:rPr>
        <w:t xml:space="preserve"> of</w:t>
      </w:r>
      <w:r w:rsidR="00BE247C">
        <w:rPr>
          <w:rFonts w:ascii="Californian FB" w:hAnsi="Californian FB" w:cs="BerkeleyStd-Bold"/>
          <w:bCs/>
          <w:sz w:val="24"/>
          <w:szCs w:val="24"/>
        </w:rPr>
        <w:t xml:space="preserve"> only nine repeat infringers that Lange had not terminated. The Ninth Circuit held that </w:t>
      </w:r>
      <w:r w:rsidR="00BE247C" w:rsidRPr="00C765A2">
        <w:rPr>
          <w:rFonts w:ascii="Californian FB" w:hAnsi="Californian FB" w:cs="Calibri"/>
          <w:bCs/>
          <w:sz w:val="24"/>
          <w:szCs w:val="24"/>
        </w:rPr>
        <w:t xml:space="preserve">§ </w:t>
      </w:r>
      <w:r w:rsidR="00BE247C" w:rsidRPr="00C765A2">
        <w:rPr>
          <w:rFonts w:ascii="Californian FB" w:hAnsi="Californian FB" w:cs="BerkeleyStd-Bold"/>
          <w:bCs/>
          <w:sz w:val="24"/>
          <w:szCs w:val="24"/>
        </w:rPr>
        <w:t>512</w:t>
      </w:r>
      <w:r w:rsidR="00BE247C">
        <w:rPr>
          <w:rFonts w:ascii="Californian FB" w:hAnsi="Californian FB" w:cs="BerkeleyStd-Bold"/>
          <w:bCs/>
          <w:sz w:val="24"/>
          <w:szCs w:val="24"/>
        </w:rPr>
        <w:t xml:space="preserve"> did not require Lange to create a written termination policy, nor did it require him to keep logbooks to aid in identifying repeat infringers, or logbooks of the subscribers whose service </w:t>
      </w:r>
      <w:r w:rsidR="00BE247C">
        <w:rPr>
          <w:rFonts w:ascii="Californian FB" w:hAnsi="Californian FB" w:cs="BerkeleyStd-Bold"/>
          <w:bCs/>
          <w:sz w:val="24"/>
          <w:szCs w:val="24"/>
        </w:rPr>
        <w:lastRenderedPageBreak/>
        <w:t>he had terminated. It appeared to be impressed by the ratio of Lange’s terminations to the number of subscribers about whom there was evidence of repeat infringement without termination: very roughly, 1800/9, or 200/1.  Judge Rawlinson dissented.  He argued that Lange had failed to articulate a consistent policy for terminating repeat infringers, and that the paucity of evidence about repeat infringers that Lange had not terminated stemmed from Lange’s “less than stellar, unautomated recordkeeping system,” and his “casual recordkeeping system.”</w:t>
      </w:r>
    </w:p>
    <w:p w14:paraId="6B4D6BB4" w14:textId="37660258" w:rsidR="00BE247C" w:rsidRDefault="00BE247C" w:rsidP="00ED6BE0">
      <w:pPr>
        <w:autoSpaceDE w:val="0"/>
        <w:autoSpaceDN w:val="0"/>
        <w:adjustRightInd w:val="0"/>
        <w:ind w:left="360" w:firstLine="360"/>
        <w:jc w:val="both"/>
        <w:rPr>
          <w:rFonts w:ascii="Californian FB" w:hAnsi="Californian FB" w:cs="BerkeleyStd-Bold"/>
          <w:bCs/>
          <w:sz w:val="24"/>
          <w:szCs w:val="24"/>
        </w:rPr>
      </w:pPr>
      <w:r>
        <w:rPr>
          <w:rFonts w:ascii="Californian FB" w:hAnsi="Californian FB" w:cs="BerkeleyStd-Bold"/>
          <w:bCs/>
          <w:sz w:val="24"/>
          <w:szCs w:val="24"/>
        </w:rPr>
        <w:t xml:space="preserve">Do you think that what Lange did </w:t>
      </w:r>
      <w:proofErr w:type="gramStart"/>
      <w:r>
        <w:rPr>
          <w:rFonts w:ascii="Californian FB" w:hAnsi="Californian FB" w:cs="BerkeleyStd-Bold"/>
          <w:bCs/>
          <w:sz w:val="24"/>
          <w:szCs w:val="24"/>
        </w:rPr>
        <w:t>satisfied</w:t>
      </w:r>
      <w:proofErr w:type="gramEnd"/>
      <w:r>
        <w:rPr>
          <w:rFonts w:ascii="Californian FB" w:hAnsi="Californian FB" w:cs="BerkeleyStd-Bold"/>
          <w:bCs/>
          <w:sz w:val="24"/>
          <w:szCs w:val="24"/>
        </w:rPr>
        <w:t xml:space="preserve"> the requirements of </w:t>
      </w:r>
      <w:r w:rsidRPr="00C765A2">
        <w:rPr>
          <w:rFonts w:ascii="Californian FB" w:hAnsi="Californian FB" w:cs="Calibri"/>
          <w:bCs/>
          <w:sz w:val="24"/>
          <w:szCs w:val="24"/>
        </w:rPr>
        <w:t xml:space="preserve">§ </w:t>
      </w:r>
      <w:r w:rsidRPr="00C765A2">
        <w:rPr>
          <w:rFonts w:ascii="Californian FB" w:hAnsi="Californian FB" w:cs="BerkeleyStd-Bold"/>
          <w:bCs/>
          <w:sz w:val="24"/>
          <w:szCs w:val="24"/>
        </w:rPr>
        <w:t>512</w:t>
      </w:r>
      <w:r>
        <w:rPr>
          <w:rFonts w:ascii="Californian FB" w:hAnsi="Californian FB" w:cs="BerkeleyStd-Bold"/>
          <w:bCs/>
          <w:sz w:val="24"/>
          <w:szCs w:val="24"/>
        </w:rPr>
        <w:t>?  Having familiarized yourself with the Ninth Circuit’s decision, would you ever recommend that a client do what Lange did?</w:t>
      </w:r>
      <w:r w:rsidR="004917E6">
        <w:rPr>
          <w:rFonts w:ascii="Californian FB" w:hAnsi="Californian FB" w:cs="BerkeleyStd-Bold"/>
          <w:bCs/>
          <w:sz w:val="24"/>
          <w:szCs w:val="24"/>
        </w:rPr>
        <w:t xml:space="preserve"> Is it possible that the court’s decision was in some way influenced by its judgment about plaintiff Ventura Content and the business in which it was engaged?</w:t>
      </w:r>
    </w:p>
    <w:p w14:paraId="0C406964" w14:textId="77777777" w:rsidR="00DA48CB" w:rsidRDefault="00DA48CB" w:rsidP="00ED6BE0">
      <w:pPr>
        <w:autoSpaceDE w:val="0"/>
        <w:autoSpaceDN w:val="0"/>
        <w:adjustRightInd w:val="0"/>
        <w:ind w:left="360" w:firstLine="360"/>
        <w:jc w:val="both"/>
        <w:rPr>
          <w:rFonts w:ascii="Californian FB" w:hAnsi="Californian FB" w:cs="BerkeleyStd-Bold"/>
          <w:bCs/>
          <w:sz w:val="24"/>
          <w:szCs w:val="24"/>
        </w:rPr>
      </w:pPr>
    </w:p>
    <w:p w14:paraId="520CD622" w14:textId="1D606FAF" w:rsidR="00757008" w:rsidRDefault="00757008" w:rsidP="00757008">
      <w:pPr>
        <w:autoSpaceDE w:val="0"/>
        <w:autoSpaceDN w:val="0"/>
        <w:adjustRightInd w:val="0"/>
        <w:spacing w:line="240" w:lineRule="auto"/>
        <w:rPr>
          <w:rFonts w:ascii="Californian FB" w:hAnsi="Californian FB" w:cs="BerkeleyStd-Bold"/>
          <w:bCs/>
          <w:sz w:val="28"/>
          <w:szCs w:val="28"/>
        </w:rPr>
      </w:pPr>
      <w:r>
        <w:rPr>
          <w:rFonts w:ascii="Californian FB" w:hAnsi="Californian FB" w:cs="BerkeleyStd-Bold"/>
          <w:bCs/>
          <w:sz w:val="28"/>
          <w:szCs w:val="28"/>
        </w:rPr>
        <w:t>p. 467: Replace note 9 with the following:</w:t>
      </w:r>
    </w:p>
    <w:p w14:paraId="20862559" w14:textId="532C1849" w:rsidR="00847570" w:rsidRDefault="00757008" w:rsidP="0054753B">
      <w:pPr>
        <w:tabs>
          <w:tab w:val="left" w:pos="270"/>
        </w:tabs>
        <w:autoSpaceDE w:val="0"/>
        <w:autoSpaceDN w:val="0"/>
        <w:adjustRightInd w:val="0"/>
        <w:spacing w:after="0"/>
        <w:ind w:left="274" w:hanging="274"/>
        <w:jc w:val="both"/>
        <w:rPr>
          <w:rFonts w:ascii="Californian FB" w:hAnsi="Californian FB" w:cs="Times New Roman"/>
          <w:sz w:val="24"/>
          <w:szCs w:val="24"/>
        </w:rPr>
      </w:pPr>
      <w:r w:rsidRPr="00757008">
        <w:rPr>
          <w:rFonts w:ascii="Californian FB" w:hAnsi="Californian FB" w:cs="BerkeleyStd-Bold"/>
          <w:b/>
          <w:bCs/>
          <w:sz w:val="24"/>
          <w:szCs w:val="24"/>
        </w:rPr>
        <w:t xml:space="preserve">9. The Section 512 Safe Harbor and pre-1972 Sound Recordings. </w:t>
      </w:r>
      <w:r>
        <w:rPr>
          <w:rFonts w:ascii="Californian FB" w:hAnsi="Californian FB" w:cs="BerkeleyStd-Bold"/>
          <w:sz w:val="24"/>
          <w:szCs w:val="24"/>
        </w:rPr>
        <w:t xml:space="preserve">Before the passage of the Music Modernization Act in 2018, </w:t>
      </w:r>
      <w:r w:rsidRPr="00757008">
        <w:rPr>
          <w:rFonts w:ascii="Californian FB" w:hAnsi="Californian FB" w:cs="BerkeleyStd-Book"/>
          <w:sz w:val="24"/>
          <w:szCs w:val="24"/>
        </w:rPr>
        <w:t>the Copyright Act d</w:t>
      </w:r>
      <w:r>
        <w:rPr>
          <w:rFonts w:ascii="Californian FB" w:hAnsi="Californian FB" w:cs="BerkeleyStd-Book"/>
          <w:sz w:val="24"/>
          <w:szCs w:val="24"/>
        </w:rPr>
        <w:t>id</w:t>
      </w:r>
      <w:r w:rsidRPr="00757008">
        <w:rPr>
          <w:rFonts w:ascii="Californian FB" w:hAnsi="Californian FB" w:cs="BerkeleyStd-Book"/>
          <w:sz w:val="24"/>
          <w:szCs w:val="24"/>
        </w:rPr>
        <w:t xml:space="preserve"> not protect sound recordings fixed prior to February 15, 1972. Those works </w:t>
      </w:r>
      <w:r w:rsidR="0054753B">
        <w:rPr>
          <w:rFonts w:ascii="Californian FB" w:hAnsi="Californian FB" w:cs="BerkeleyStd-Book"/>
          <w:sz w:val="24"/>
          <w:szCs w:val="24"/>
        </w:rPr>
        <w:t>were</w:t>
      </w:r>
      <w:r w:rsidRPr="00757008">
        <w:rPr>
          <w:rFonts w:ascii="Californian FB" w:hAnsi="Californian FB" w:cs="BerkeleyStd-Book"/>
          <w:sz w:val="24"/>
          <w:szCs w:val="24"/>
        </w:rPr>
        <w:t xml:space="preserve"> protected instead by state “common law” copyright</w:t>
      </w:r>
      <w:r w:rsidR="0054753B">
        <w:rPr>
          <w:rFonts w:ascii="Californian FB" w:hAnsi="Californian FB" w:cs="BerkeleyStd-Book"/>
          <w:sz w:val="24"/>
          <w:szCs w:val="24"/>
        </w:rPr>
        <w:t xml:space="preserve">. Does the section 512 safe harbor, part of the federal copyright scheme, protect claims against online service providers made under state law?  </w:t>
      </w:r>
      <w:r w:rsidRPr="00757008">
        <w:rPr>
          <w:rFonts w:ascii="Californian FB" w:hAnsi="Californian FB" w:cs="BerkeleyStd-Book"/>
          <w:sz w:val="24"/>
          <w:szCs w:val="24"/>
        </w:rPr>
        <w:t xml:space="preserve">In June 2016, the Second Circuit answered that question in the affirmative, holding that § 512(c) did indeed apply to pre-1972 recordings that were not protected by federal copyright. </w:t>
      </w:r>
      <w:r w:rsidRPr="00757008">
        <w:rPr>
          <w:rFonts w:ascii="Californian FB" w:hAnsi="Californian FB" w:cs="BerkeleyStd-BookItalic"/>
          <w:i/>
          <w:iCs/>
          <w:sz w:val="24"/>
          <w:szCs w:val="24"/>
        </w:rPr>
        <w:t xml:space="preserve">See Capitol Records, LLC v. Vimeo, </w:t>
      </w:r>
      <w:r w:rsidRPr="00757008">
        <w:rPr>
          <w:rFonts w:ascii="Californian FB" w:hAnsi="Californian FB" w:cs="BerkeleyStd-Book"/>
          <w:sz w:val="24"/>
          <w:szCs w:val="24"/>
        </w:rPr>
        <w:t xml:space="preserve">826 F.3d 78 (2d Cir. 2016). </w:t>
      </w:r>
      <w:r w:rsidR="0054753B">
        <w:rPr>
          <w:rFonts w:ascii="Californian FB" w:hAnsi="Californian FB" w:cs="BerkeleyStd-Book"/>
          <w:sz w:val="24"/>
          <w:szCs w:val="24"/>
        </w:rPr>
        <w:t xml:space="preserve">The Music Modernization Act, discussed in detail below in the versions of Chapters 12. E. and 12.F. in this Supplement, now provides for federal protection for pre-1972 sound recordings.  It provides expressly that the liability it creates is subject to the safe harbor of Section 512.  </w:t>
      </w:r>
      <w:r w:rsidR="00836A19">
        <w:rPr>
          <w:rFonts w:ascii="Californian FB" w:hAnsi="Californian FB" w:cs="BerkeleyStd-Book"/>
          <w:i/>
          <w:iCs/>
          <w:sz w:val="24"/>
          <w:szCs w:val="24"/>
        </w:rPr>
        <w:t xml:space="preserve">See </w:t>
      </w:r>
      <w:r w:rsidR="00836A19">
        <w:rPr>
          <w:rFonts w:ascii="Californian FB" w:hAnsi="Californian FB" w:cs="BerkeleyStd-Book"/>
          <w:sz w:val="24"/>
          <w:szCs w:val="24"/>
        </w:rPr>
        <w:t xml:space="preserve">Music Modernization Act § 202(a)(2) (codified at </w:t>
      </w:r>
      <w:r w:rsidR="00836A19" w:rsidRPr="003C74F8">
        <w:rPr>
          <w:rFonts w:ascii="Californian FB" w:hAnsi="Californian FB" w:cs="Times New Roman"/>
          <w:sz w:val="24"/>
          <w:szCs w:val="24"/>
        </w:rPr>
        <w:t>17 U.S.C. § 1401(f)(3)</w:t>
      </w:r>
      <w:r w:rsidR="00836A19">
        <w:rPr>
          <w:rFonts w:ascii="Californian FB" w:hAnsi="Californian FB" w:cs="Times New Roman"/>
          <w:sz w:val="24"/>
          <w:szCs w:val="24"/>
        </w:rPr>
        <w:t>).</w:t>
      </w:r>
    </w:p>
    <w:p w14:paraId="5DAC7924" w14:textId="5E2B12C4" w:rsidR="00DE03D3" w:rsidRDefault="00DE03D3" w:rsidP="0054753B">
      <w:pPr>
        <w:tabs>
          <w:tab w:val="left" w:pos="270"/>
        </w:tabs>
        <w:autoSpaceDE w:val="0"/>
        <w:autoSpaceDN w:val="0"/>
        <w:adjustRightInd w:val="0"/>
        <w:spacing w:after="0"/>
        <w:ind w:left="274" w:hanging="274"/>
        <w:jc w:val="both"/>
        <w:rPr>
          <w:rFonts w:ascii="Californian FB" w:hAnsi="Californian FB" w:cs="BerkeleyStd-Bold"/>
          <w:bCs/>
          <w:sz w:val="24"/>
          <w:szCs w:val="24"/>
        </w:rPr>
      </w:pPr>
    </w:p>
    <w:p w14:paraId="357BC537" w14:textId="13455B8F" w:rsidR="00DE03D3" w:rsidRDefault="00DE03D3" w:rsidP="0054753B">
      <w:pPr>
        <w:tabs>
          <w:tab w:val="left" w:pos="270"/>
        </w:tabs>
        <w:autoSpaceDE w:val="0"/>
        <w:autoSpaceDN w:val="0"/>
        <w:adjustRightInd w:val="0"/>
        <w:spacing w:after="0"/>
        <w:ind w:left="274" w:hanging="274"/>
        <w:jc w:val="both"/>
        <w:rPr>
          <w:rFonts w:ascii="Californian FB" w:hAnsi="Californian FB" w:cs="BerkeleyStd-Bold"/>
          <w:bCs/>
          <w:sz w:val="28"/>
          <w:szCs w:val="28"/>
        </w:rPr>
      </w:pPr>
      <w:r w:rsidRPr="005A1CF2">
        <w:rPr>
          <w:rFonts w:ascii="Californian FB" w:hAnsi="Californian FB" w:cs="BerkeleyStd-Bold"/>
          <w:bCs/>
          <w:sz w:val="28"/>
          <w:szCs w:val="28"/>
        </w:rPr>
        <w:t>p. 497</w:t>
      </w:r>
      <w:r w:rsidR="005A1CF2">
        <w:rPr>
          <w:rFonts w:ascii="Californian FB" w:hAnsi="Californian FB" w:cs="BerkeleyStd-Bold"/>
          <w:bCs/>
          <w:sz w:val="28"/>
          <w:szCs w:val="28"/>
        </w:rPr>
        <w:t>: Insert this new section above the “Test Your Knowledge” box</w:t>
      </w:r>
      <w:r w:rsidR="00973D6B">
        <w:rPr>
          <w:rFonts w:ascii="Californian FB" w:hAnsi="Californian FB" w:cs="BerkeleyStd-Bold"/>
          <w:bCs/>
          <w:sz w:val="28"/>
          <w:szCs w:val="28"/>
        </w:rPr>
        <w:t>:</w:t>
      </w:r>
    </w:p>
    <w:p w14:paraId="66D6396A" w14:textId="2BF4B839" w:rsidR="00973D6B" w:rsidRDefault="00973D6B" w:rsidP="0054753B">
      <w:pPr>
        <w:tabs>
          <w:tab w:val="left" w:pos="270"/>
        </w:tabs>
        <w:autoSpaceDE w:val="0"/>
        <w:autoSpaceDN w:val="0"/>
        <w:adjustRightInd w:val="0"/>
        <w:spacing w:after="0"/>
        <w:ind w:left="274" w:hanging="274"/>
        <w:jc w:val="both"/>
        <w:rPr>
          <w:rFonts w:ascii="Californian FB" w:hAnsi="Californian FB" w:cs="BerkeleyStd-Bold"/>
          <w:bCs/>
          <w:sz w:val="28"/>
          <w:szCs w:val="28"/>
        </w:rPr>
      </w:pPr>
    </w:p>
    <w:p w14:paraId="1D15348D" w14:textId="77777777" w:rsidR="00973D6B" w:rsidRPr="00066CE4" w:rsidRDefault="00973D6B" w:rsidP="00973D6B">
      <w:pPr>
        <w:rPr>
          <w:rFonts w:ascii="Californian FB" w:hAnsi="Californian FB"/>
          <w:b/>
          <w:sz w:val="24"/>
          <w:szCs w:val="24"/>
        </w:rPr>
      </w:pPr>
      <w:r w:rsidRPr="00066CE4">
        <w:rPr>
          <w:rFonts w:ascii="Californian FB" w:hAnsi="Californian FB"/>
          <w:b/>
          <w:sz w:val="24"/>
          <w:szCs w:val="24"/>
        </w:rPr>
        <w:t>H.  Administrative Adjudication of Small Claims at the Copyright Claims Board</w:t>
      </w:r>
    </w:p>
    <w:p w14:paraId="46DF0696" w14:textId="1D2385D7" w:rsidR="00973D6B" w:rsidRDefault="00973D6B" w:rsidP="00B023F6">
      <w:pPr>
        <w:ind w:firstLine="360"/>
        <w:jc w:val="both"/>
        <w:rPr>
          <w:rFonts w:ascii="Californian FB" w:hAnsi="Californian FB"/>
          <w:sz w:val="24"/>
          <w:szCs w:val="24"/>
        </w:rPr>
      </w:pPr>
      <w:r>
        <w:rPr>
          <w:rFonts w:ascii="Californian FB" w:hAnsi="Californian FB"/>
          <w:sz w:val="24"/>
          <w:szCs w:val="24"/>
        </w:rPr>
        <w:t>As the materials in Chapter 4 revealed, proving copyright infringement in court requires a plaintiff to jump through a lot of hoops.  The more hoops, the more work is involved in litigating the case.  And the more work involved, the higher the legal fees and the more time between infringement and eventual remedy.</w:t>
      </w:r>
    </w:p>
    <w:p w14:paraId="79C041C4" w14:textId="50F35F9C" w:rsidR="00973D6B" w:rsidRDefault="00973D6B" w:rsidP="00B023F6">
      <w:pPr>
        <w:tabs>
          <w:tab w:val="left" w:pos="2153"/>
        </w:tabs>
        <w:ind w:firstLine="360"/>
        <w:jc w:val="both"/>
        <w:rPr>
          <w:rFonts w:ascii="Californian FB" w:hAnsi="Californian FB"/>
          <w:sz w:val="24"/>
          <w:szCs w:val="24"/>
        </w:rPr>
      </w:pPr>
      <w:r>
        <w:rPr>
          <w:rFonts w:ascii="Californian FB" w:hAnsi="Californian FB"/>
          <w:sz w:val="24"/>
          <w:szCs w:val="24"/>
        </w:rPr>
        <w:t>The consequence is that smaller creators of copyrighted material who have limited resources confront practical obstacles to enforcing their rights.  If the part-time photo-journalist discovers that one of her recent photos has been appropriated by a company for use in a print advertising campaign, she may not be able to afford the cost of a lawsuit.  The same might be true for a budding screenwriter who thinks his script has been appropriated as the basis for an online video, or for a struggling musical composer who feels their jingle was stolen for use in a radio commercial.</w:t>
      </w:r>
    </w:p>
    <w:p w14:paraId="4A2EF7AB" w14:textId="70665DB1" w:rsidR="00973D6B" w:rsidRDefault="00973D6B" w:rsidP="00B023F6">
      <w:pPr>
        <w:ind w:firstLine="360"/>
        <w:jc w:val="both"/>
        <w:rPr>
          <w:rFonts w:ascii="Californian FB" w:hAnsi="Californian FB"/>
          <w:sz w:val="24"/>
          <w:szCs w:val="24"/>
        </w:rPr>
      </w:pPr>
      <w:r>
        <w:rPr>
          <w:rFonts w:ascii="Californian FB" w:hAnsi="Californian FB"/>
          <w:sz w:val="24"/>
          <w:szCs w:val="24"/>
        </w:rPr>
        <w:lastRenderedPageBreak/>
        <w:t>On the flip side, those who use copyrighted material may be uncertain about whether their use falls within an exception to the exclusive rights, or would be excused as fair use or “de minimis” use.  Such concerns may be heightened if they have received a “demand letter” from the copyright holder alleging infringement and insisting that they cease and desist. Faced with the prospect of expensive and lengthy federal court litigation, they may stop their use of the material, even though that use might ultimately be found to be lawful, and even though the public might be deprived of edification or entertainment as a result.</w:t>
      </w:r>
    </w:p>
    <w:p w14:paraId="601ACD08" w14:textId="2889C6A2"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Mindful of these dilemmas, in </w:t>
      </w:r>
      <w:r w:rsidRPr="007279C8">
        <w:rPr>
          <w:rFonts w:ascii="Californian FB" w:hAnsi="Californian FB"/>
          <w:sz w:val="24"/>
          <w:szCs w:val="24"/>
        </w:rPr>
        <w:t>December 2020 Congress passed the </w:t>
      </w:r>
      <w:hyperlink r:id="rId167" w:history="1">
        <w:r w:rsidRPr="007279C8">
          <w:rPr>
            <w:rStyle w:val="Hyperlink"/>
            <w:rFonts w:ascii="Californian FB" w:hAnsi="Californian FB"/>
            <w:sz w:val="24"/>
            <w:szCs w:val="24"/>
          </w:rPr>
          <w:t>Copyright Alternative in Small-Claims Enforcement Act of 2020 (CASE Act)</w:t>
        </w:r>
      </w:hyperlink>
      <w:r>
        <w:rPr>
          <w:rFonts w:ascii="Californian FB" w:hAnsi="Californian FB"/>
          <w:sz w:val="24"/>
          <w:szCs w:val="24"/>
        </w:rPr>
        <w:t>, P.L. 116-260, codified at 17 U.S.C § 1501-1511.  The CASE Act requires</w:t>
      </w:r>
      <w:r w:rsidRPr="007279C8">
        <w:rPr>
          <w:rFonts w:ascii="Californian FB" w:hAnsi="Californian FB"/>
          <w:sz w:val="24"/>
          <w:szCs w:val="24"/>
        </w:rPr>
        <w:t xml:space="preserve"> the Copyright Office to establish </w:t>
      </w:r>
      <w:r>
        <w:rPr>
          <w:rFonts w:ascii="Californian FB" w:hAnsi="Californian FB"/>
          <w:sz w:val="24"/>
          <w:szCs w:val="24"/>
        </w:rPr>
        <w:t xml:space="preserve">a new entity known as </w:t>
      </w:r>
      <w:r w:rsidRPr="007279C8">
        <w:rPr>
          <w:rFonts w:ascii="Californian FB" w:hAnsi="Californian FB"/>
          <w:sz w:val="24"/>
          <w:szCs w:val="24"/>
        </w:rPr>
        <w:t>th</w:t>
      </w:r>
      <w:r>
        <w:rPr>
          <w:rFonts w:ascii="Californian FB" w:hAnsi="Californian FB"/>
          <w:sz w:val="24"/>
          <w:szCs w:val="24"/>
        </w:rPr>
        <w:t xml:space="preserve">e Copyright Claims Board (CCB) to function as an administrative “small claims court” to handle copyright disputes with amounts in controversy of </w:t>
      </w:r>
      <w:r w:rsidRPr="007279C8">
        <w:rPr>
          <w:rFonts w:ascii="Californian FB" w:hAnsi="Californian FB"/>
          <w:sz w:val="24"/>
          <w:szCs w:val="24"/>
        </w:rPr>
        <w:t xml:space="preserve">$30,000 </w:t>
      </w:r>
      <w:r>
        <w:rPr>
          <w:rFonts w:ascii="Californian FB" w:hAnsi="Californian FB"/>
          <w:sz w:val="24"/>
          <w:szCs w:val="24"/>
        </w:rPr>
        <w:t xml:space="preserve">or less.  This new CCB commenced operations in June of 2022.  Its goal is to provide an inexpensive and expeditious forum in which to resolve simple claims of infringement. </w:t>
      </w:r>
    </w:p>
    <w:p w14:paraId="39C57BA6" w14:textId="6A7A71D6" w:rsidR="00973D6B" w:rsidRDefault="00973D6B" w:rsidP="00B023F6">
      <w:pPr>
        <w:ind w:firstLine="360"/>
        <w:jc w:val="both"/>
        <w:rPr>
          <w:rFonts w:ascii="Californian FB" w:hAnsi="Californian FB"/>
          <w:sz w:val="24"/>
          <w:szCs w:val="24"/>
        </w:rPr>
      </w:pPr>
      <w:r>
        <w:rPr>
          <w:rFonts w:ascii="Californian FB" w:hAnsi="Californian FB"/>
          <w:sz w:val="24"/>
          <w:szCs w:val="24"/>
        </w:rPr>
        <w:t>The CCB process is available to both sides in a copyright controversy.  In other words, copyright owners can bring claims of infringement, and users can bring claims seeking a declaration of non-infringement.  Here is a quick overview of several key features of this new adjudicative option.</w:t>
      </w:r>
    </w:p>
    <w:p w14:paraId="7EBDFC6B" w14:textId="42D730A4" w:rsidR="00973D6B" w:rsidRPr="00742BD3" w:rsidRDefault="001C63A2" w:rsidP="00B023F6">
      <w:pPr>
        <w:ind w:firstLine="360"/>
        <w:jc w:val="both"/>
        <w:rPr>
          <w:rFonts w:ascii="Californian FB" w:hAnsi="Californian FB"/>
          <w:sz w:val="24"/>
          <w:szCs w:val="24"/>
        </w:rPr>
      </w:pPr>
      <w:r w:rsidRPr="00D42A59">
        <w:rPr>
          <w:rFonts w:ascii="Californian FB" w:hAnsi="Californian FB"/>
          <w:noProof/>
          <w:sz w:val="24"/>
          <w:szCs w:val="24"/>
        </w:rPr>
        <w:drawing>
          <wp:anchor distT="0" distB="0" distL="114300" distR="114300" simplePos="0" relativeHeight="251755520" behindDoc="0" locked="0" layoutInCell="1" allowOverlap="1" wp14:anchorId="294FF108" wp14:editId="2F818D37">
            <wp:simplePos x="0" y="0"/>
            <wp:positionH relativeFrom="column">
              <wp:posOffset>3424555</wp:posOffset>
            </wp:positionH>
            <wp:positionV relativeFrom="page">
              <wp:posOffset>5390515</wp:posOffset>
            </wp:positionV>
            <wp:extent cx="2444115" cy="363855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8" cstate="print">
                      <a:extLst>
                        <a:ext uri="{28A0092B-C50C-407E-A947-70E740481C1C}">
                          <a14:useLocalDpi xmlns:a14="http://schemas.microsoft.com/office/drawing/2010/main" val="0"/>
                        </a:ext>
                      </a:extLst>
                    </a:blip>
                    <a:srcRect l="899" t="1518" r="5849" b="1957"/>
                    <a:stretch/>
                  </pic:blipFill>
                  <pic:spPr bwMode="auto">
                    <a:xfrm>
                      <a:off x="0" y="0"/>
                      <a:ext cx="2444115" cy="363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D6B">
        <w:rPr>
          <w:rFonts w:ascii="Californian FB" w:hAnsi="Californian FB"/>
          <w:b/>
          <w:sz w:val="24"/>
          <w:szCs w:val="24"/>
        </w:rPr>
        <w:t xml:space="preserve">Composition of Board:  </w:t>
      </w:r>
      <w:r w:rsidR="00973D6B">
        <w:rPr>
          <w:rFonts w:ascii="Californian FB" w:hAnsi="Californian FB"/>
          <w:sz w:val="24"/>
          <w:szCs w:val="24"/>
        </w:rPr>
        <w:t xml:space="preserve">  The CCB consists of three members, known as Copyright Claims Officers, appointed by the Librarian of Congress, based on recommendations from the Register of Copyrights.  They serve for a term of six years and the appointments are renewable.  The bios of the three current Claims Officers should be available </w:t>
      </w:r>
      <w:hyperlink r:id="rId169" w:history="1">
        <w:r w:rsidR="00973D6B" w:rsidRPr="00C632A4">
          <w:rPr>
            <w:rStyle w:val="Hyperlink"/>
            <w:rFonts w:ascii="Californian FB" w:hAnsi="Californian FB"/>
            <w:sz w:val="24"/>
            <w:szCs w:val="24"/>
          </w:rPr>
          <w:t>at the bottom of this web page</w:t>
        </w:r>
      </w:hyperlink>
      <w:r w:rsidR="00973D6B">
        <w:rPr>
          <w:rFonts w:ascii="Californian FB" w:hAnsi="Californian FB"/>
          <w:sz w:val="24"/>
          <w:szCs w:val="24"/>
        </w:rPr>
        <w:t xml:space="preserve">.  </w:t>
      </w:r>
    </w:p>
    <w:p w14:paraId="0FA9FA53" w14:textId="06D20A06"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Streamlined online procedures: </w:t>
      </w:r>
      <w:r w:rsidRPr="00C41C58">
        <w:rPr>
          <w:rFonts w:ascii="Californian FB" w:hAnsi="Californian FB"/>
          <w:sz w:val="24"/>
          <w:szCs w:val="24"/>
        </w:rPr>
        <w:t xml:space="preserve"> Claims before the Board are commenced by filing an online form through the electronic portal on the CCB’s website, </w:t>
      </w:r>
      <w:r>
        <w:rPr>
          <w:rFonts w:ascii="Californian FB" w:hAnsi="Californian FB"/>
          <w:sz w:val="24"/>
          <w:szCs w:val="24"/>
        </w:rPr>
        <w:t xml:space="preserve">labelled </w:t>
      </w:r>
      <w:proofErr w:type="spellStart"/>
      <w:r w:rsidRPr="00C41C58">
        <w:rPr>
          <w:rFonts w:ascii="Californian FB" w:hAnsi="Californian FB"/>
          <w:sz w:val="24"/>
          <w:szCs w:val="24"/>
        </w:rPr>
        <w:t>eCCB</w:t>
      </w:r>
      <w:proofErr w:type="spellEnd"/>
      <w:r w:rsidRPr="00C41C58">
        <w:rPr>
          <w:rFonts w:ascii="Californian FB" w:hAnsi="Californian FB"/>
          <w:sz w:val="24"/>
          <w:szCs w:val="24"/>
        </w:rPr>
        <w:t xml:space="preserve">.  </w:t>
      </w:r>
      <w:r>
        <w:rPr>
          <w:rFonts w:ascii="Californian FB" w:hAnsi="Californian FB"/>
          <w:sz w:val="24"/>
          <w:szCs w:val="24"/>
        </w:rPr>
        <w:t>The simple form requests basic information such as the names of the parties, a description of the copyrighted work, information about the date and place of infringement and a description of the infringing activities.  Compared to the typical civil complaint in a copyright case, the forms are models of brevity.</w:t>
      </w:r>
      <w:r w:rsidR="00B023F6" w:rsidRPr="00B023F6">
        <w:rPr>
          <w:rFonts w:ascii="Californian FB" w:hAnsi="Californian FB"/>
          <w:noProof/>
          <w:sz w:val="24"/>
          <w:szCs w:val="24"/>
        </w:rPr>
        <w:t xml:space="preserve"> </w:t>
      </w:r>
    </w:p>
    <w:p w14:paraId="728EE310" w14:textId="66616701"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If you visit </w:t>
      </w:r>
      <w:hyperlink r:id="rId170" w:history="1">
        <w:r w:rsidRPr="006E0988">
          <w:rPr>
            <w:rStyle w:val="Hyperlink"/>
            <w:rFonts w:ascii="Californian FB" w:hAnsi="Californian FB"/>
            <w:sz w:val="24"/>
            <w:szCs w:val="24"/>
          </w:rPr>
          <w:t>https://dockets.ccb.gov/search/cases</w:t>
        </w:r>
      </w:hyperlink>
      <w:r>
        <w:rPr>
          <w:rFonts w:ascii="Californian FB" w:hAnsi="Californian FB"/>
          <w:sz w:val="24"/>
          <w:szCs w:val="24"/>
        </w:rPr>
        <w:t xml:space="preserve"> you will find a list of all cases pending before the board.  Clicking on the “view” button next to any listed case will take you to a full electronic docket of all the filings in that case, the first of which will be the relevant claim form.  Here is a screen shot of a typical claims form as filed (if the font is too small, you can read the actual claim </w:t>
      </w:r>
      <w:hyperlink r:id="rId171" w:history="1">
        <w:r w:rsidRPr="00D42A59">
          <w:rPr>
            <w:rStyle w:val="Hyperlink"/>
            <w:rFonts w:ascii="Californian FB" w:hAnsi="Californian FB"/>
            <w:sz w:val="24"/>
            <w:szCs w:val="24"/>
          </w:rPr>
          <w:t>by clicking here</w:t>
        </w:r>
      </w:hyperlink>
      <w:r>
        <w:rPr>
          <w:rFonts w:ascii="Californian FB" w:hAnsi="Californian FB"/>
          <w:sz w:val="24"/>
          <w:szCs w:val="24"/>
        </w:rPr>
        <w:t>)</w:t>
      </w:r>
    </w:p>
    <w:p w14:paraId="6FA8F5D1" w14:textId="6B97E82F" w:rsidR="00973D6B" w:rsidRDefault="00973D6B" w:rsidP="00B023F6">
      <w:pPr>
        <w:ind w:firstLine="360"/>
        <w:jc w:val="both"/>
        <w:rPr>
          <w:rFonts w:ascii="Californian FB" w:hAnsi="Californian FB"/>
          <w:sz w:val="24"/>
          <w:szCs w:val="24"/>
        </w:rPr>
      </w:pPr>
      <w:r>
        <w:rPr>
          <w:rFonts w:ascii="Californian FB" w:hAnsi="Californian FB"/>
          <w:sz w:val="24"/>
          <w:szCs w:val="24"/>
        </w:rPr>
        <w:lastRenderedPageBreak/>
        <w:t xml:space="preserve">Once a claim is filed, the CCB </w:t>
      </w:r>
      <w:r w:rsidRPr="00D529A8">
        <w:rPr>
          <w:rFonts w:ascii="Californian FB" w:hAnsi="Californian FB"/>
          <w:sz w:val="24"/>
          <w:szCs w:val="24"/>
        </w:rPr>
        <w:t xml:space="preserve">reviews it to make sure that it </w:t>
      </w:r>
      <w:r>
        <w:rPr>
          <w:rFonts w:ascii="Californian FB" w:hAnsi="Californian FB"/>
          <w:sz w:val="24"/>
          <w:szCs w:val="24"/>
        </w:rPr>
        <w:t xml:space="preserve">complies with the statute and relevant CCB regulations, and that it </w:t>
      </w:r>
      <w:r w:rsidRPr="00D529A8">
        <w:rPr>
          <w:rFonts w:ascii="Californian FB" w:hAnsi="Californian FB"/>
          <w:sz w:val="24"/>
          <w:szCs w:val="24"/>
        </w:rPr>
        <w:t>provides enough information to enable the respondent</w:t>
      </w:r>
      <w:r>
        <w:rPr>
          <w:rFonts w:ascii="Californian FB" w:hAnsi="Californian FB"/>
          <w:sz w:val="24"/>
          <w:szCs w:val="24"/>
        </w:rPr>
        <w:t xml:space="preserve"> to answer it.  </w:t>
      </w:r>
      <w:r w:rsidRPr="00D529A8">
        <w:rPr>
          <w:rFonts w:ascii="Californian FB" w:hAnsi="Californian FB"/>
          <w:sz w:val="24"/>
          <w:szCs w:val="24"/>
        </w:rPr>
        <w:t>This is calle</w:t>
      </w:r>
      <w:r>
        <w:rPr>
          <w:rFonts w:ascii="Californian FB" w:hAnsi="Californian FB"/>
          <w:sz w:val="24"/>
          <w:szCs w:val="24"/>
        </w:rPr>
        <w:t xml:space="preserve">d the Compliance Review stage.  After compliance review the CCB supplies the claimant with a set of materials (including the claim form) that must be served on the respondent.  The claimant has 90 days to effectuate service and file proof of service with the Board.  For further details on how to accomplish service in CCB case you can </w:t>
      </w:r>
      <w:hyperlink r:id="rId172" w:history="1">
        <w:r w:rsidRPr="002E3BB7">
          <w:rPr>
            <w:rStyle w:val="Hyperlink"/>
            <w:rFonts w:ascii="Californian FB" w:hAnsi="Californian FB"/>
            <w:sz w:val="24"/>
            <w:szCs w:val="24"/>
          </w:rPr>
          <w:t>click here</w:t>
        </w:r>
      </w:hyperlink>
      <w:r>
        <w:rPr>
          <w:rFonts w:ascii="Californian FB" w:hAnsi="Californian FB"/>
          <w:sz w:val="24"/>
          <w:szCs w:val="24"/>
        </w:rPr>
        <w:t>.</w:t>
      </w:r>
    </w:p>
    <w:p w14:paraId="3D7FDD2C" w14:textId="782D9B49"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Discovery is sharply limited in these proceedings.  Relevant documents are to be submitted over the internet and all necessary hearings will be held by video conference.  Counterclaims are permitted, but only for copyright infringement or claims of misrepresentation under § 512 (in others words for inappropriate DMCA take-down notices).  Parties may represent themselves or be represented by an attorney.  There is also a specific provision in the CASE Act that allows qualified law students to represent parties before the board as well, provided they are properly supervised and do so on a pro bono basis.  </w:t>
      </w:r>
    </w:p>
    <w:p w14:paraId="66EEDE0E" w14:textId="1CEFEFBA"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Relaxed Registration Requirements:  </w:t>
      </w:r>
      <w:r w:rsidRPr="00E70E9D">
        <w:rPr>
          <w:rFonts w:ascii="Californian FB" w:hAnsi="Californian FB"/>
          <w:sz w:val="24"/>
          <w:szCs w:val="24"/>
        </w:rPr>
        <w:t xml:space="preserve">As we </w:t>
      </w:r>
      <w:r>
        <w:rPr>
          <w:rFonts w:ascii="Californian FB" w:hAnsi="Californian FB"/>
          <w:sz w:val="24"/>
          <w:szCs w:val="24"/>
        </w:rPr>
        <w:t xml:space="preserve">will explore further in Chapter 7, </w:t>
      </w:r>
      <w:r w:rsidRPr="007C5A7F">
        <w:rPr>
          <w:rFonts w:ascii="Californian FB" w:hAnsi="Californian FB"/>
          <w:sz w:val="24"/>
          <w:szCs w:val="24"/>
        </w:rPr>
        <w:t>a copyright registration (or final denial of application to register) is a prerequisite to filing an infringement suit in federal district court.  Before the CCB, a party may commence an action</w:t>
      </w:r>
      <w:r>
        <w:rPr>
          <w:rFonts w:ascii="Californian FB" w:hAnsi="Californian FB"/>
          <w:sz w:val="24"/>
          <w:szCs w:val="24"/>
        </w:rPr>
        <w:t xml:space="preserve"> prior to registration, provided </w:t>
      </w:r>
      <w:r w:rsidRPr="007C5A7F">
        <w:rPr>
          <w:rFonts w:ascii="Californian FB" w:hAnsi="Californian FB"/>
          <w:sz w:val="24"/>
          <w:szCs w:val="24"/>
        </w:rPr>
        <w:t>an application to register has been filed</w:t>
      </w:r>
      <w:r>
        <w:rPr>
          <w:rFonts w:ascii="Californian FB" w:hAnsi="Californian FB"/>
          <w:sz w:val="24"/>
          <w:szCs w:val="24"/>
        </w:rPr>
        <w:t xml:space="preserve">, is pending and has not been refused.  The statute provides, however that the Board </w:t>
      </w:r>
      <w:r w:rsidRPr="00E96FBB">
        <w:rPr>
          <w:rFonts w:ascii="Californian FB" w:hAnsi="Californian FB"/>
          <w:sz w:val="24"/>
          <w:szCs w:val="24"/>
        </w:rPr>
        <w:t>“may not render a determination” of the claim until the registration certificate has been issued.</w:t>
      </w:r>
    </w:p>
    <w:p w14:paraId="778BF048" w14:textId="06C305A2" w:rsidR="00973D6B" w:rsidRPr="005D6754" w:rsidRDefault="00973D6B" w:rsidP="00B023F6">
      <w:pPr>
        <w:ind w:firstLine="360"/>
        <w:jc w:val="both"/>
        <w:rPr>
          <w:rFonts w:ascii="Californian FB" w:hAnsi="Californian FB"/>
          <w:sz w:val="24"/>
          <w:szCs w:val="24"/>
        </w:rPr>
      </w:pPr>
      <w:r>
        <w:rPr>
          <w:rFonts w:ascii="Californian FB" w:hAnsi="Californian FB"/>
          <w:b/>
          <w:sz w:val="24"/>
          <w:szCs w:val="24"/>
        </w:rPr>
        <w:t>Controlling Law:</w:t>
      </w:r>
      <w:r>
        <w:rPr>
          <w:rFonts w:ascii="Californian FB" w:hAnsi="Californian FB"/>
          <w:sz w:val="24"/>
          <w:szCs w:val="24"/>
        </w:rPr>
        <w:t xml:space="preserve">  The Board is to following existing precedent as set out in case law and is supposed to avoid formulating new interpretations of law.  In the event of a circuit split, it is to follow the law of the circuit where the case could have been filed if the plaintiff had opted for traditional litigation instead of the administration proceeding.  Decisions of the Board have no precedential effect, and may not be cited as precedent in copyright litigation, not even in subsequent cases before the Board itself.  </w:t>
      </w:r>
    </w:p>
    <w:p w14:paraId="34EA8E47" w14:textId="66B26836"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Opt-Out Opportunity:  </w:t>
      </w:r>
      <w:r w:rsidRPr="007D3B3D">
        <w:rPr>
          <w:rFonts w:ascii="Californian FB" w:hAnsi="Californian FB"/>
          <w:sz w:val="24"/>
          <w:szCs w:val="24"/>
        </w:rPr>
        <w:t>As you might expect, t</w:t>
      </w:r>
      <w:r w:rsidRPr="009B18B5">
        <w:rPr>
          <w:rFonts w:ascii="Californian FB" w:hAnsi="Californian FB"/>
          <w:sz w:val="24"/>
          <w:szCs w:val="24"/>
        </w:rPr>
        <w:t xml:space="preserve">here is no requirement for copyright owners with small claims to use the CCB.  They remain free to bring a conventional suit in federal district court.  </w:t>
      </w:r>
    </w:p>
    <w:p w14:paraId="16553562" w14:textId="4E7C9CDF" w:rsidR="00973D6B" w:rsidRDefault="00973D6B" w:rsidP="00B023F6">
      <w:pPr>
        <w:ind w:firstLine="360"/>
        <w:jc w:val="both"/>
        <w:rPr>
          <w:rFonts w:ascii="Californian FB" w:hAnsi="Californian FB"/>
          <w:sz w:val="24"/>
          <w:szCs w:val="24"/>
        </w:rPr>
      </w:pPr>
      <w:r w:rsidRPr="009B18B5">
        <w:rPr>
          <w:rFonts w:ascii="Californian FB" w:hAnsi="Californian FB"/>
          <w:sz w:val="24"/>
          <w:szCs w:val="24"/>
        </w:rPr>
        <w:t xml:space="preserve">Perhaps more importantly, a </w:t>
      </w:r>
      <w:r>
        <w:rPr>
          <w:rFonts w:ascii="Californian FB" w:hAnsi="Californian FB"/>
          <w:sz w:val="24"/>
          <w:szCs w:val="24"/>
        </w:rPr>
        <w:t>respondent</w:t>
      </w:r>
      <w:r w:rsidRPr="009B18B5">
        <w:rPr>
          <w:rFonts w:ascii="Californian FB" w:hAnsi="Californian FB"/>
          <w:sz w:val="24"/>
          <w:szCs w:val="24"/>
        </w:rPr>
        <w:t xml:space="preserve"> in a CCB proceeding </w:t>
      </w:r>
      <w:r>
        <w:rPr>
          <w:rFonts w:ascii="Californian FB" w:hAnsi="Californian FB"/>
          <w:sz w:val="24"/>
          <w:szCs w:val="24"/>
        </w:rPr>
        <w:t>has 60 days after being served to opt out and refuse to participate in the case before the Board.  Proponents of the CCB thus tend to say that participation is “voluntary.”  The package of materials that must be served on the respondent must include an opt-out form.</w:t>
      </w:r>
    </w:p>
    <w:p w14:paraId="018E3B80" w14:textId="42436598"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If the respondent does opt-out, the complaining party may choose to bring an infringement suit in federal court or, of course, to drop the matter.  At the expiration of </w:t>
      </w:r>
      <w:proofErr w:type="gramStart"/>
      <w:r>
        <w:rPr>
          <w:rFonts w:ascii="Californian FB" w:hAnsi="Californian FB"/>
          <w:sz w:val="24"/>
          <w:szCs w:val="24"/>
        </w:rPr>
        <w:t>this 60 period</w:t>
      </w:r>
      <w:proofErr w:type="gramEnd"/>
      <w:r>
        <w:rPr>
          <w:rFonts w:ascii="Californian FB" w:hAnsi="Californian FB"/>
          <w:sz w:val="24"/>
          <w:szCs w:val="24"/>
        </w:rPr>
        <w:t>, if respondent has not opted out, the claim, in the parlance of the relevant regulations “becomes active.”</w:t>
      </w:r>
    </w:p>
    <w:p w14:paraId="713FEECB" w14:textId="3C0BDC8D"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There is also a mechanism for libraries and archives to opt-out of all CCB proceeding categorically, in what the Board calls a “blanket” opt-out.  The blanket opt-out has quickly become very popular: as of this writing, almost 700 libraries and archives have taken advantage of it.  </w:t>
      </w:r>
      <w:r>
        <w:rPr>
          <w:rFonts w:ascii="Californian FB" w:hAnsi="Californian FB"/>
          <w:i/>
          <w:iCs/>
          <w:sz w:val="24"/>
          <w:szCs w:val="24"/>
        </w:rPr>
        <w:t xml:space="preserve">See </w:t>
      </w:r>
      <w:r>
        <w:rPr>
          <w:rFonts w:ascii="Californian FB" w:hAnsi="Californian FB"/>
          <w:sz w:val="24"/>
          <w:szCs w:val="24"/>
        </w:rPr>
        <w:t xml:space="preserve">Library and Archive Opt-Out List, </w:t>
      </w:r>
      <w:hyperlink r:id="rId173" w:history="1">
        <w:r w:rsidRPr="008633C5">
          <w:rPr>
            <w:rStyle w:val="Hyperlink"/>
            <w:rFonts w:ascii="Californian FB" w:hAnsi="Californian FB"/>
            <w:sz w:val="24"/>
            <w:szCs w:val="24"/>
          </w:rPr>
          <w:t>https://ccb.gov/libraries-archives-opt-out/</w:t>
        </w:r>
      </w:hyperlink>
      <w:r>
        <w:rPr>
          <w:rFonts w:ascii="Californian FB" w:hAnsi="Californian FB"/>
          <w:sz w:val="24"/>
          <w:szCs w:val="24"/>
        </w:rPr>
        <w:t xml:space="preserve">.  If a </w:t>
      </w:r>
      <w:r>
        <w:rPr>
          <w:rFonts w:ascii="Californian FB" w:hAnsi="Californian FB"/>
          <w:sz w:val="24"/>
          <w:szCs w:val="24"/>
        </w:rPr>
        <w:lastRenderedPageBreak/>
        <w:t xml:space="preserve">particular library does not take advantage of this </w:t>
      </w:r>
      <w:proofErr w:type="gramStart"/>
      <w:r>
        <w:rPr>
          <w:rFonts w:ascii="Californian FB" w:hAnsi="Californian FB"/>
          <w:sz w:val="24"/>
          <w:szCs w:val="24"/>
        </w:rPr>
        <w:t>option</w:t>
      </w:r>
      <w:proofErr w:type="gramEnd"/>
      <w:r>
        <w:rPr>
          <w:rFonts w:ascii="Californian FB" w:hAnsi="Californian FB"/>
          <w:sz w:val="24"/>
          <w:szCs w:val="24"/>
        </w:rPr>
        <w:t xml:space="preserve"> it may still opt-out of particular claims filed against it on a case-by-case basis.</w:t>
      </w:r>
    </w:p>
    <w:p w14:paraId="17546BFB" w14:textId="41766104" w:rsidR="00973D6B" w:rsidRDefault="00973D6B" w:rsidP="00B023F6">
      <w:pPr>
        <w:ind w:firstLine="360"/>
        <w:jc w:val="both"/>
        <w:rPr>
          <w:rFonts w:ascii="Californian FB" w:hAnsi="Californian FB"/>
          <w:b/>
          <w:sz w:val="24"/>
          <w:szCs w:val="24"/>
        </w:rPr>
      </w:pPr>
      <w:r>
        <w:rPr>
          <w:rFonts w:ascii="Californian FB" w:hAnsi="Californian FB"/>
          <w:sz w:val="24"/>
          <w:szCs w:val="24"/>
        </w:rPr>
        <w:t xml:space="preserve">This opt-out feature was included, in part, to </w:t>
      </w:r>
      <w:r w:rsidR="00D92330">
        <w:rPr>
          <w:rFonts w:ascii="Californian FB" w:hAnsi="Californian FB"/>
          <w:sz w:val="24"/>
          <w:szCs w:val="24"/>
        </w:rPr>
        <w:t>e</w:t>
      </w:r>
      <w:r>
        <w:rPr>
          <w:rFonts w:ascii="Californian FB" w:hAnsi="Californian FB"/>
          <w:sz w:val="24"/>
          <w:szCs w:val="24"/>
        </w:rPr>
        <w:t>nsure that the new system would not conflict with the Constitutional guarantee of trial by jury, as well as to provide an “escape mechanism” for parties who believe they are merely being harassed with claims that would never warrant seeking relief in more formal judicial proceeding.</w:t>
      </w:r>
    </w:p>
    <w:p w14:paraId="706B7758" w14:textId="22AF3F4A"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Damage Caps: </w:t>
      </w:r>
      <w:r>
        <w:rPr>
          <w:rFonts w:ascii="Californian FB" w:hAnsi="Californian FB"/>
          <w:sz w:val="24"/>
          <w:szCs w:val="24"/>
        </w:rPr>
        <w:t xml:space="preserve">As noted above the maximum that can be recovered in a CCB proceeding is $30,000 in either actual or statutory damages.  However, for statutory damages there is also a “per work” maximum of $15,000 </w:t>
      </w:r>
      <w:r w:rsidRPr="003E3727">
        <w:rPr>
          <w:rFonts w:ascii="Californian FB" w:hAnsi="Californian FB"/>
          <w:sz w:val="24"/>
          <w:szCs w:val="24"/>
        </w:rPr>
        <w:t>(if the work was timely registered) or $7,500 (if not timely registered).</w:t>
      </w:r>
      <w:r>
        <w:rPr>
          <w:rFonts w:ascii="Californian FB" w:hAnsi="Californian FB"/>
          <w:sz w:val="24"/>
          <w:szCs w:val="24"/>
        </w:rPr>
        <w:t xml:space="preserve">  </w:t>
      </w:r>
      <w:proofErr w:type="gramStart"/>
      <w:r>
        <w:rPr>
          <w:rFonts w:ascii="Californian FB" w:hAnsi="Californian FB"/>
          <w:sz w:val="24"/>
          <w:szCs w:val="24"/>
        </w:rPr>
        <w:t>Thus</w:t>
      </w:r>
      <w:proofErr w:type="gramEnd"/>
      <w:r>
        <w:rPr>
          <w:rFonts w:ascii="Californian FB" w:hAnsi="Californian FB"/>
          <w:sz w:val="24"/>
          <w:szCs w:val="24"/>
        </w:rPr>
        <w:t xml:space="preserve"> if only one work is at issue and the claimant seeks statutory damages, the award is likely to be something less than $15,000 and, in many case, likely to be considerably less than that.</w:t>
      </w:r>
    </w:p>
    <w:p w14:paraId="39DB755A" w14:textId="41EAC476" w:rsidR="00973D6B" w:rsidRDefault="00973D6B" w:rsidP="00B023F6">
      <w:pPr>
        <w:ind w:firstLine="360"/>
        <w:jc w:val="both"/>
        <w:rPr>
          <w:rFonts w:ascii="Californian FB" w:hAnsi="Californian FB"/>
          <w:sz w:val="24"/>
          <w:szCs w:val="24"/>
        </w:rPr>
      </w:pPr>
      <w:r>
        <w:rPr>
          <w:rFonts w:ascii="Californian FB" w:hAnsi="Californian FB"/>
          <w:sz w:val="24"/>
          <w:szCs w:val="24"/>
        </w:rPr>
        <w:t xml:space="preserve">The usual </w:t>
      </w:r>
      <w:r w:rsidRPr="00235CFB">
        <w:rPr>
          <w:rFonts w:ascii="Californian FB" w:hAnsi="Californian FB"/>
          <w:b/>
          <w:i/>
          <w:sz w:val="24"/>
          <w:szCs w:val="24"/>
        </w:rPr>
        <w:t>minimum</w:t>
      </w:r>
      <w:r>
        <w:rPr>
          <w:rFonts w:ascii="Californian FB" w:hAnsi="Californian FB"/>
          <w:sz w:val="24"/>
          <w:szCs w:val="24"/>
        </w:rPr>
        <w:t xml:space="preserve"> amounts for statutory damages govern in cases before the board (those are $750 unless the respondent can show he had no reason to believe his conduct constituted infringement, in which case that minimum drops to $200). </w:t>
      </w:r>
    </w:p>
    <w:p w14:paraId="18D62393" w14:textId="13F3AADA"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Limited Appellate Rights:  </w:t>
      </w:r>
      <w:r w:rsidRPr="009B18B5">
        <w:rPr>
          <w:rFonts w:ascii="Californian FB" w:hAnsi="Californian FB"/>
          <w:sz w:val="24"/>
          <w:szCs w:val="24"/>
        </w:rPr>
        <w:t xml:space="preserve">In most cases the losing party before the Board is not permitted to appeal the ruling to the federal courts.  The sole options are to seek reconsideration from the </w:t>
      </w:r>
      <w:r>
        <w:rPr>
          <w:rFonts w:ascii="Californian FB" w:hAnsi="Californian FB"/>
          <w:sz w:val="24"/>
          <w:szCs w:val="24"/>
        </w:rPr>
        <w:t>B</w:t>
      </w:r>
      <w:r w:rsidRPr="009B18B5">
        <w:rPr>
          <w:rFonts w:ascii="Californian FB" w:hAnsi="Californian FB"/>
          <w:sz w:val="24"/>
          <w:szCs w:val="24"/>
        </w:rPr>
        <w:t>oard</w:t>
      </w:r>
      <w:r>
        <w:rPr>
          <w:rFonts w:ascii="Californian FB" w:hAnsi="Californian FB"/>
          <w:sz w:val="24"/>
          <w:szCs w:val="24"/>
        </w:rPr>
        <w:t xml:space="preserve">, which is only permitted based on a claim of </w:t>
      </w:r>
      <w:r w:rsidRPr="007D3A09">
        <w:rPr>
          <w:rFonts w:ascii="Californian FB" w:hAnsi="Californian FB"/>
          <w:sz w:val="24"/>
          <w:szCs w:val="24"/>
        </w:rPr>
        <w:t xml:space="preserve">clear error of law or fact material to the </w:t>
      </w:r>
      <w:r>
        <w:rPr>
          <w:rFonts w:ascii="Californian FB" w:hAnsi="Californian FB"/>
          <w:sz w:val="24"/>
          <w:szCs w:val="24"/>
        </w:rPr>
        <w:t>outcome, or a technical mistake.  If</w:t>
      </w:r>
      <w:r w:rsidRPr="009B18B5">
        <w:rPr>
          <w:rFonts w:ascii="Californian FB" w:hAnsi="Californian FB"/>
          <w:sz w:val="24"/>
          <w:szCs w:val="24"/>
        </w:rPr>
        <w:t xml:space="preserve"> reconsideration is denied</w:t>
      </w:r>
      <w:r>
        <w:rPr>
          <w:rFonts w:ascii="Californian FB" w:hAnsi="Californian FB"/>
          <w:sz w:val="24"/>
          <w:szCs w:val="24"/>
        </w:rPr>
        <w:t xml:space="preserve"> the losing party may</w:t>
      </w:r>
      <w:r w:rsidRPr="009B18B5">
        <w:rPr>
          <w:rFonts w:ascii="Californian FB" w:hAnsi="Californian FB"/>
          <w:sz w:val="24"/>
          <w:szCs w:val="24"/>
        </w:rPr>
        <w:t xml:space="preserve"> appeal to the Register of Copyrights for a decision </w:t>
      </w:r>
      <w:r>
        <w:rPr>
          <w:rFonts w:ascii="Californian FB" w:hAnsi="Californian FB"/>
          <w:sz w:val="24"/>
          <w:szCs w:val="24"/>
        </w:rPr>
        <w:t>limited to question of</w:t>
      </w:r>
      <w:r w:rsidRPr="009B18B5">
        <w:rPr>
          <w:rFonts w:ascii="Californian FB" w:hAnsi="Californian FB"/>
          <w:sz w:val="24"/>
          <w:szCs w:val="24"/>
        </w:rPr>
        <w:t xml:space="preserve"> whether the CCB abused its discretion </w:t>
      </w:r>
      <w:r>
        <w:rPr>
          <w:rFonts w:ascii="Californian FB" w:hAnsi="Californian FB"/>
          <w:sz w:val="24"/>
          <w:szCs w:val="24"/>
        </w:rPr>
        <w:t xml:space="preserve">in denying reconsideration.  </w:t>
      </w:r>
    </w:p>
    <w:p w14:paraId="5693D18D" w14:textId="24BD2335" w:rsidR="00973D6B" w:rsidRDefault="00973D6B" w:rsidP="00B023F6">
      <w:pPr>
        <w:ind w:firstLine="360"/>
        <w:jc w:val="both"/>
        <w:rPr>
          <w:rFonts w:ascii="Californian FB" w:hAnsi="Californian FB"/>
          <w:sz w:val="24"/>
          <w:szCs w:val="24"/>
        </w:rPr>
      </w:pPr>
      <w:r>
        <w:rPr>
          <w:rFonts w:ascii="Californian FB" w:hAnsi="Californian FB"/>
          <w:sz w:val="24"/>
          <w:szCs w:val="24"/>
        </w:rPr>
        <w:t>The only situations in which a party may seek judicial review</w:t>
      </w:r>
      <w:r w:rsidRPr="009B18B5">
        <w:rPr>
          <w:rFonts w:ascii="Californian FB" w:hAnsi="Californian FB"/>
          <w:sz w:val="24"/>
          <w:szCs w:val="24"/>
        </w:rPr>
        <w:t xml:space="preserve"> </w:t>
      </w:r>
      <w:r>
        <w:rPr>
          <w:rFonts w:ascii="Californian FB" w:hAnsi="Californian FB"/>
          <w:sz w:val="24"/>
          <w:szCs w:val="24"/>
        </w:rPr>
        <w:t>are (1</w:t>
      </w:r>
      <w:r w:rsidRPr="000531AC">
        <w:rPr>
          <w:rFonts w:ascii="Californian FB" w:hAnsi="Californian FB"/>
          <w:sz w:val="24"/>
          <w:szCs w:val="24"/>
        </w:rPr>
        <w:t xml:space="preserve">) </w:t>
      </w:r>
      <w:r>
        <w:rPr>
          <w:rFonts w:ascii="Californian FB" w:hAnsi="Californian FB"/>
          <w:sz w:val="24"/>
          <w:szCs w:val="24"/>
        </w:rPr>
        <w:t xml:space="preserve">if the Board’s determination was issued as a result of </w:t>
      </w:r>
      <w:r w:rsidRPr="000531AC">
        <w:rPr>
          <w:rFonts w:ascii="Californian FB" w:hAnsi="Californian FB"/>
          <w:sz w:val="24"/>
          <w:szCs w:val="24"/>
        </w:rPr>
        <w:t>fraud, corruption, misrepr</w:t>
      </w:r>
      <w:r>
        <w:rPr>
          <w:rFonts w:ascii="Californian FB" w:hAnsi="Californian FB"/>
          <w:sz w:val="24"/>
          <w:szCs w:val="24"/>
        </w:rPr>
        <w:t xml:space="preserve">esentation, or other misconduct; </w:t>
      </w:r>
      <w:r w:rsidRPr="000531AC">
        <w:rPr>
          <w:rFonts w:ascii="Californian FB" w:hAnsi="Californian FB"/>
          <w:sz w:val="24"/>
          <w:szCs w:val="24"/>
        </w:rPr>
        <w:t>(</w:t>
      </w:r>
      <w:r>
        <w:rPr>
          <w:rFonts w:ascii="Californian FB" w:hAnsi="Californian FB"/>
          <w:sz w:val="24"/>
          <w:szCs w:val="24"/>
        </w:rPr>
        <w:t>2</w:t>
      </w:r>
      <w:r w:rsidRPr="000531AC">
        <w:rPr>
          <w:rFonts w:ascii="Californian FB" w:hAnsi="Californian FB"/>
          <w:sz w:val="24"/>
          <w:szCs w:val="24"/>
        </w:rPr>
        <w:t>) the Board exceeded its authority or failed to render a final determination; or (</w:t>
      </w:r>
      <w:r>
        <w:rPr>
          <w:rFonts w:ascii="Californian FB" w:hAnsi="Californian FB"/>
          <w:sz w:val="24"/>
          <w:szCs w:val="24"/>
        </w:rPr>
        <w:t>3</w:t>
      </w:r>
      <w:r w:rsidRPr="000531AC">
        <w:rPr>
          <w:rFonts w:ascii="Californian FB" w:hAnsi="Californian FB"/>
          <w:sz w:val="24"/>
          <w:szCs w:val="24"/>
        </w:rPr>
        <w:t xml:space="preserve">) </w:t>
      </w:r>
      <w:r>
        <w:rPr>
          <w:rFonts w:ascii="Californian FB" w:hAnsi="Californian FB"/>
          <w:sz w:val="24"/>
          <w:szCs w:val="24"/>
        </w:rPr>
        <w:t xml:space="preserve">when the determination by the Board was based on default by one of the parties, a claim that the </w:t>
      </w:r>
      <w:r w:rsidRPr="000531AC">
        <w:rPr>
          <w:rFonts w:ascii="Californian FB" w:hAnsi="Californian FB"/>
          <w:sz w:val="24"/>
          <w:szCs w:val="24"/>
        </w:rPr>
        <w:t>default or failure to prosecute was due to excusable neglect.</w:t>
      </w:r>
      <w:r>
        <w:rPr>
          <w:rFonts w:ascii="Californian FB" w:hAnsi="Californian FB"/>
          <w:sz w:val="24"/>
          <w:szCs w:val="24"/>
        </w:rPr>
        <w:t xml:space="preserve">  These situations are likely to be extremely rare, meaning that as a practical matter, the CCB ruling will be the final word on the matter.</w:t>
      </w:r>
    </w:p>
    <w:p w14:paraId="2D28F665" w14:textId="77777777" w:rsidR="00AD3EC8" w:rsidRDefault="00973D6B" w:rsidP="00B023F6">
      <w:pPr>
        <w:ind w:firstLine="360"/>
        <w:jc w:val="both"/>
        <w:rPr>
          <w:rFonts w:ascii="Californian FB" w:hAnsi="Californian FB"/>
          <w:sz w:val="24"/>
          <w:szCs w:val="24"/>
        </w:rPr>
      </w:pPr>
      <w:r>
        <w:rPr>
          <w:rFonts w:ascii="Californian FB" w:hAnsi="Californian FB"/>
          <w:b/>
          <w:bCs/>
          <w:sz w:val="24"/>
          <w:szCs w:val="24"/>
        </w:rPr>
        <w:t xml:space="preserve">Fees: </w:t>
      </w:r>
      <w:r>
        <w:rPr>
          <w:rFonts w:ascii="Californian FB" w:hAnsi="Californian FB"/>
          <w:sz w:val="24"/>
          <w:szCs w:val="24"/>
        </w:rPr>
        <w:t xml:space="preserve">The claimant must pay an initial fee of $40 at the time the claim is filed.  If the respondent does not opt out, and the claim “becomes active,” the claimant must pay an additional fee of $60. </w:t>
      </w:r>
      <w:r w:rsidR="00AD3EC8">
        <w:rPr>
          <w:rFonts w:ascii="Californian FB" w:hAnsi="Californian FB"/>
          <w:sz w:val="24"/>
          <w:szCs w:val="24"/>
        </w:rPr>
        <w:t xml:space="preserve">The fee for filing an appeal is the less friendly sum of $300. </w:t>
      </w:r>
      <w:r w:rsidR="00AD3EC8" w:rsidRPr="00E42D62">
        <w:rPr>
          <w:rFonts w:ascii="Californian FB" w:hAnsi="Californian FB"/>
          <w:sz w:val="24"/>
          <w:szCs w:val="24"/>
        </w:rPr>
        <w:t xml:space="preserve">By comparison the current cost to file a civil complaint is U.S. District </w:t>
      </w:r>
      <w:r w:rsidR="00AD3EC8">
        <w:rPr>
          <w:rFonts w:ascii="Californian FB" w:hAnsi="Californian FB"/>
          <w:sz w:val="24"/>
          <w:szCs w:val="24"/>
        </w:rPr>
        <w:t>C</w:t>
      </w:r>
      <w:r w:rsidR="00AD3EC8" w:rsidRPr="00E42D62">
        <w:rPr>
          <w:rFonts w:ascii="Californian FB" w:hAnsi="Californian FB"/>
          <w:sz w:val="24"/>
          <w:szCs w:val="24"/>
        </w:rPr>
        <w:t>ourt is $402</w:t>
      </w:r>
      <w:r w:rsidR="00AD3EC8">
        <w:rPr>
          <w:rFonts w:ascii="Californian FB" w:hAnsi="Californian FB"/>
          <w:sz w:val="24"/>
          <w:szCs w:val="24"/>
        </w:rPr>
        <w:t>, and the cost to file an appeal is $505.</w:t>
      </w:r>
    </w:p>
    <w:p w14:paraId="55E2FA83" w14:textId="52C6BC0C" w:rsidR="00973D6B" w:rsidRDefault="00973D6B" w:rsidP="00B023F6">
      <w:pPr>
        <w:ind w:firstLine="360"/>
        <w:jc w:val="both"/>
        <w:rPr>
          <w:rFonts w:ascii="Californian FB" w:hAnsi="Californian FB"/>
          <w:sz w:val="24"/>
          <w:szCs w:val="24"/>
        </w:rPr>
      </w:pPr>
      <w:r>
        <w:rPr>
          <w:rFonts w:ascii="Californian FB" w:hAnsi="Californian FB"/>
          <w:b/>
          <w:sz w:val="24"/>
          <w:szCs w:val="24"/>
        </w:rPr>
        <w:t xml:space="preserve">Annual Usage Limitations:  </w:t>
      </w:r>
      <w:r>
        <w:rPr>
          <w:rFonts w:ascii="Californian FB" w:hAnsi="Californian FB"/>
          <w:sz w:val="24"/>
          <w:szCs w:val="24"/>
        </w:rPr>
        <w:t>The regulations implementing the CCB system provide that:</w:t>
      </w:r>
    </w:p>
    <w:p w14:paraId="4FE8C726" w14:textId="77777777" w:rsidR="00973D6B" w:rsidRDefault="00973D6B" w:rsidP="00B023F6">
      <w:pPr>
        <w:ind w:left="630" w:right="900" w:firstLine="90"/>
        <w:jc w:val="both"/>
        <w:rPr>
          <w:rFonts w:ascii="Californian FB" w:hAnsi="Californian FB"/>
          <w:sz w:val="24"/>
          <w:szCs w:val="24"/>
        </w:rPr>
      </w:pPr>
      <w:r>
        <w:rPr>
          <w:rFonts w:ascii="Californian FB" w:hAnsi="Californian FB"/>
          <w:sz w:val="24"/>
          <w:szCs w:val="24"/>
        </w:rPr>
        <w:tab/>
      </w:r>
      <w:r w:rsidRPr="00B4448D">
        <w:rPr>
          <w:rFonts w:ascii="Californian FB" w:hAnsi="Californian FB"/>
          <w:sz w:val="24"/>
          <w:szCs w:val="24"/>
        </w:rPr>
        <w:t>(1) A claimant, including a corporate claimant's parents, subsidiaries, and affiliates, shall file no more than 30 proceedings in any 12–month period.</w:t>
      </w:r>
    </w:p>
    <w:p w14:paraId="45A02DAE" w14:textId="77777777" w:rsidR="00973D6B" w:rsidRDefault="00973D6B" w:rsidP="00B023F6">
      <w:pPr>
        <w:ind w:left="630" w:right="900" w:firstLine="360"/>
        <w:jc w:val="both"/>
        <w:rPr>
          <w:rFonts w:ascii="Californian FB" w:hAnsi="Californian FB"/>
          <w:sz w:val="24"/>
          <w:szCs w:val="24"/>
        </w:rPr>
      </w:pPr>
      <w:r>
        <w:rPr>
          <w:rFonts w:ascii="Californian FB" w:hAnsi="Californian FB"/>
          <w:sz w:val="24"/>
          <w:szCs w:val="24"/>
        </w:rPr>
        <w:tab/>
      </w:r>
      <w:r w:rsidRPr="00B4448D">
        <w:rPr>
          <w:rFonts w:ascii="Californian FB" w:hAnsi="Californian FB"/>
          <w:sz w:val="24"/>
          <w:szCs w:val="24"/>
        </w:rPr>
        <w:t>(2) A sole practitioner or a legal counsel associated with a law firm shall file no more than 40 CCB proceedings on behalf of claimants in any 12–month period.</w:t>
      </w:r>
    </w:p>
    <w:p w14:paraId="3D21009F" w14:textId="77777777" w:rsidR="00973D6B" w:rsidRPr="00B4448D" w:rsidRDefault="00973D6B" w:rsidP="00B023F6">
      <w:pPr>
        <w:ind w:left="630" w:right="900" w:firstLine="810"/>
        <w:jc w:val="both"/>
        <w:rPr>
          <w:rFonts w:ascii="Californian FB" w:hAnsi="Californian FB"/>
          <w:sz w:val="24"/>
          <w:szCs w:val="24"/>
        </w:rPr>
      </w:pPr>
      <w:r w:rsidRPr="00B4448D">
        <w:rPr>
          <w:rFonts w:ascii="Californian FB" w:hAnsi="Californian FB"/>
          <w:sz w:val="24"/>
          <w:szCs w:val="24"/>
        </w:rPr>
        <w:lastRenderedPageBreak/>
        <w:t>(3) A law firm shall file no more than 80 CCB proceedings on behalf of claimants in any 12–month period.</w:t>
      </w:r>
    </w:p>
    <w:p w14:paraId="43EE4B8D" w14:textId="77777777" w:rsidR="00973D6B" w:rsidRPr="00B4448D" w:rsidRDefault="00973D6B" w:rsidP="00B023F6">
      <w:pPr>
        <w:jc w:val="both"/>
        <w:rPr>
          <w:rFonts w:ascii="Californian FB" w:hAnsi="Californian FB"/>
          <w:sz w:val="24"/>
          <w:szCs w:val="24"/>
        </w:rPr>
      </w:pPr>
      <w:r>
        <w:rPr>
          <w:rFonts w:ascii="Californian FB" w:hAnsi="Californian FB"/>
          <w:sz w:val="24"/>
          <w:szCs w:val="24"/>
        </w:rPr>
        <w:t xml:space="preserve">37 C.F.R. § 233.2.  </w:t>
      </w:r>
      <w:r w:rsidRPr="00B4448D">
        <w:rPr>
          <w:rFonts w:ascii="Californian FB" w:hAnsi="Californian FB"/>
          <w:sz w:val="24"/>
          <w:szCs w:val="24"/>
        </w:rPr>
        <w:t xml:space="preserve">We’ve been pretty good, so far, in not annoying you with questions, but you knew that wasn’t going to last forever.  What do you think motivated </w:t>
      </w:r>
      <w:r>
        <w:rPr>
          <w:rFonts w:ascii="Californian FB" w:hAnsi="Californian FB"/>
          <w:sz w:val="24"/>
          <w:szCs w:val="24"/>
        </w:rPr>
        <w:t>the adoption of these limits?</w:t>
      </w:r>
    </w:p>
    <w:p w14:paraId="38949B55" w14:textId="3FA45865" w:rsidR="00973D6B" w:rsidRDefault="00973D6B" w:rsidP="00B023F6">
      <w:pPr>
        <w:jc w:val="both"/>
        <w:rPr>
          <w:rFonts w:ascii="Californian FB" w:hAnsi="Californian FB"/>
          <w:sz w:val="24"/>
          <w:szCs w:val="24"/>
        </w:rPr>
      </w:pPr>
      <w:r>
        <w:rPr>
          <w:rFonts w:ascii="Californian FB" w:hAnsi="Californian FB"/>
          <w:b/>
          <w:sz w:val="24"/>
          <w:szCs w:val="24"/>
        </w:rPr>
        <w:t xml:space="preserve">Special Smaller Claims Procedure:  </w:t>
      </w:r>
      <w:r>
        <w:rPr>
          <w:rFonts w:ascii="Californian FB" w:hAnsi="Californian FB"/>
          <w:sz w:val="24"/>
          <w:szCs w:val="24"/>
        </w:rPr>
        <w:t>For claimants seeking $5,000 or less in damages, there is an even more simplified set of procedures.  These claims are heard by only one Copyright Claims Officer rather than by the whole board and discovery and arguments are even narrowly limited.  Details are set out in 37 C.F.R. § 226.4</w:t>
      </w:r>
    </w:p>
    <w:p w14:paraId="06C0A1EF" w14:textId="77777777" w:rsidR="00973D6B" w:rsidRPr="00944F43" w:rsidRDefault="00973D6B" w:rsidP="001C63A2">
      <w:pPr>
        <w:jc w:val="center"/>
        <w:rPr>
          <w:rFonts w:ascii="Californian FB" w:hAnsi="Californian FB"/>
          <w:b/>
          <w:sz w:val="24"/>
          <w:szCs w:val="24"/>
        </w:rPr>
      </w:pPr>
      <w:r w:rsidRPr="00944F43">
        <w:rPr>
          <w:rFonts w:ascii="Californian FB" w:hAnsi="Californian FB"/>
          <w:b/>
          <w:sz w:val="24"/>
          <w:szCs w:val="24"/>
        </w:rPr>
        <w:t>_______________</w:t>
      </w:r>
    </w:p>
    <w:p w14:paraId="5FF31E7E" w14:textId="55236D13" w:rsidR="00973D6B" w:rsidRDefault="00973D6B" w:rsidP="00B023F6">
      <w:pPr>
        <w:jc w:val="both"/>
        <w:rPr>
          <w:rFonts w:ascii="Californian FB" w:hAnsi="Californian FB"/>
          <w:sz w:val="24"/>
          <w:szCs w:val="24"/>
        </w:rPr>
      </w:pPr>
      <w:r>
        <w:rPr>
          <w:rFonts w:ascii="Californian FB" w:hAnsi="Californian FB"/>
          <w:sz w:val="24"/>
          <w:szCs w:val="24"/>
        </w:rPr>
        <w:t xml:space="preserve">Much more information is available at the CCB website, </w:t>
      </w:r>
      <w:hyperlink r:id="rId174" w:history="1">
        <w:r w:rsidRPr="00132231">
          <w:rPr>
            <w:rStyle w:val="Hyperlink"/>
            <w:rFonts w:ascii="Californian FB" w:hAnsi="Californian FB"/>
            <w:sz w:val="24"/>
            <w:szCs w:val="24"/>
          </w:rPr>
          <w:t>https://www.ccb.gov/</w:t>
        </w:r>
      </w:hyperlink>
      <w:r>
        <w:rPr>
          <w:rFonts w:ascii="Californian FB" w:hAnsi="Californian FB"/>
          <w:sz w:val="24"/>
          <w:szCs w:val="24"/>
        </w:rPr>
        <w:t xml:space="preserve"> and in the </w:t>
      </w:r>
      <w:hyperlink r:id="rId175" w:history="1">
        <w:r w:rsidRPr="002E3BB7">
          <w:rPr>
            <w:rStyle w:val="Hyperlink"/>
            <w:rFonts w:ascii="Californian FB" w:hAnsi="Californian FB"/>
            <w:sz w:val="24"/>
            <w:szCs w:val="24"/>
          </w:rPr>
          <w:t>Copyright Claims Board Handbook</w:t>
        </w:r>
      </w:hyperlink>
      <w:r>
        <w:rPr>
          <w:rFonts w:ascii="Californian FB" w:hAnsi="Californian FB"/>
          <w:sz w:val="24"/>
          <w:szCs w:val="24"/>
        </w:rPr>
        <w:t xml:space="preserve">.   If curiosity or professional obligations motivate you to take an </w:t>
      </w:r>
      <w:proofErr w:type="gramStart"/>
      <w:r>
        <w:rPr>
          <w:rFonts w:ascii="Californian FB" w:hAnsi="Californian FB"/>
          <w:sz w:val="24"/>
          <w:szCs w:val="24"/>
        </w:rPr>
        <w:t>even  deeper</w:t>
      </w:r>
      <w:proofErr w:type="gramEnd"/>
      <w:r>
        <w:rPr>
          <w:rFonts w:ascii="Californian FB" w:hAnsi="Californian FB"/>
          <w:sz w:val="24"/>
          <w:szCs w:val="24"/>
        </w:rPr>
        <w:t xml:space="preserve"> dive into the mechanics of the CCB, you should, of course, read through the CASE statute and the governing regulations codified in Title 37 of the Code of Federal Regulations (C.F.R.) at Chapter II, subchapter B. (37 C.F.R. §§ 220.1-232.2).  There is also a useful video of a panel discussion about the board which you can find by </w:t>
      </w:r>
      <w:hyperlink r:id="rId176" w:history="1">
        <w:r w:rsidRPr="00FA7595">
          <w:rPr>
            <w:rStyle w:val="Hyperlink"/>
            <w:rFonts w:ascii="Californian FB" w:hAnsi="Californian FB"/>
            <w:sz w:val="24"/>
            <w:szCs w:val="24"/>
          </w:rPr>
          <w:t>clicking here</w:t>
        </w:r>
      </w:hyperlink>
      <w:r>
        <w:rPr>
          <w:rFonts w:ascii="Californian FB" w:hAnsi="Californian FB"/>
          <w:sz w:val="24"/>
          <w:szCs w:val="24"/>
        </w:rPr>
        <w:t>.</w:t>
      </w:r>
    </w:p>
    <w:p w14:paraId="619DE862" w14:textId="77777777" w:rsidR="00973D6B" w:rsidRPr="00944F43" w:rsidRDefault="00973D6B" w:rsidP="001C63A2">
      <w:pPr>
        <w:jc w:val="center"/>
        <w:rPr>
          <w:rFonts w:ascii="Californian FB" w:hAnsi="Californian FB"/>
          <w:b/>
          <w:sz w:val="24"/>
          <w:szCs w:val="24"/>
        </w:rPr>
      </w:pPr>
      <w:r w:rsidRPr="00944F43">
        <w:rPr>
          <w:rFonts w:ascii="Californian FB" w:hAnsi="Californian FB"/>
          <w:b/>
          <w:sz w:val="24"/>
          <w:szCs w:val="24"/>
        </w:rPr>
        <w:t>_______________</w:t>
      </w:r>
    </w:p>
    <w:p w14:paraId="6107508D" w14:textId="07D02553" w:rsidR="00973D6B" w:rsidRDefault="00973D6B" w:rsidP="00B023F6">
      <w:pPr>
        <w:jc w:val="both"/>
        <w:rPr>
          <w:rFonts w:ascii="Californian FB" w:hAnsi="Californian FB"/>
          <w:sz w:val="24"/>
          <w:szCs w:val="24"/>
        </w:rPr>
      </w:pPr>
      <w:r>
        <w:rPr>
          <w:rFonts w:ascii="Californian FB" w:hAnsi="Californian FB"/>
          <w:sz w:val="24"/>
          <w:szCs w:val="24"/>
        </w:rPr>
        <w:t>The CCB is not without its detractors, even though it has just barely come into existence.  The Electronic Frontier Foundation (or EFF) has said “</w:t>
      </w:r>
      <w:r w:rsidRPr="00944F43">
        <w:rPr>
          <w:rFonts w:ascii="Californian FB" w:hAnsi="Californian FB"/>
          <w:sz w:val="24"/>
          <w:szCs w:val="24"/>
        </w:rPr>
        <w:t>the CCB is likely to disadvantage many people who are accused of copyright infringement, especially ordinary internet users, website owners, and small businesses. It also violates the Constitution in ways that harm everyone</w:t>
      </w:r>
      <w:r>
        <w:rPr>
          <w:rFonts w:ascii="Californian FB" w:hAnsi="Californian FB"/>
          <w:sz w:val="24"/>
          <w:szCs w:val="24"/>
        </w:rPr>
        <w:t>,” and they predict that “</w:t>
      </w:r>
      <w:r w:rsidRPr="00944F43">
        <w:rPr>
          <w:rFonts w:ascii="Californian FB" w:hAnsi="Californian FB"/>
          <w:sz w:val="24"/>
          <w:szCs w:val="24"/>
        </w:rPr>
        <w:t>most knowledgeable parties will choose to opt out of the CCB process</w:t>
      </w:r>
      <w:r>
        <w:rPr>
          <w:rFonts w:ascii="Californian FB" w:hAnsi="Californian FB"/>
          <w:sz w:val="24"/>
          <w:szCs w:val="24"/>
        </w:rPr>
        <w:t xml:space="preserve">.”  You can read their full critique by </w:t>
      </w:r>
      <w:hyperlink r:id="rId177" w:history="1">
        <w:r w:rsidRPr="00805B48">
          <w:rPr>
            <w:rStyle w:val="Hyperlink"/>
            <w:rFonts w:ascii="Californian FB" w:hAnsi="Californian FB"/>
            <w:sz w:val="24"/>
            <w:szCs w:val="24"/>
          </w:rPr>
          <w:t>clicking here</w:t>
        </w:r>
      </w:hyperlink>
      <w:r>
        <w:rPr>
          <w:rFonts w:ascii="Californian FB" w:hAnsi="Californian FB"/>
          <w:sz w:val="24"/>
          <w:szCs w:val="24"/>
        </w:rPr>
        <w:t xml:space="preserve">.  </w:t>
      </w:r>
    </w:p>
    <w:p w14:paraId="477CE1B8" w14:textId="2B18A94B" w:rsidR="00973D6B" w:rsidRDefault="00973D6B" w:rsidP="00B023F6">
      <w:pPr>
        <w:jc w:val="both"/>
        <w:rPr>
          <w:rFonts w:ascii="Californian FB" w:hAnsi="Californian FB"/>
          <w:sz w:val="24"/>
          <w:szCs w:val="24"/>
        </w:rPr>
      </w:pPr>
      <w:r>
        <w:rPr>
          <w:rFonts w:ascii="Californian FB" w:hAnsi="Californian FB"/>
          <w:sz w:val="24"/>
          <w:szCs w:val="24"/>
        </w:rPr>
        <w:tab/>
        <w:t>In our view it is too early to make confident statements about who will be using the CCB system, how often respondents will opt out, whether the Board will be biased in favor of finding infringement or, frankly, most anything else.  As the copyright world gains experience with this new system some of th</w:t>
      </w:r>
      <w:r w:rsidR="00DA033A">
        <w:rPr>
          <w:rFonts w:ascii="Californian FB" w:hAnsi="Californian FB"/>
          <w:sz w:val="24"/>
          <w:szCs w:val="24"/>
        </w:rPr>
        <w:t>ese</w:t>
      </w:r>
      <w:r>
        <w:rPr>
          <w:rFonts w:ascii="Californian FB" w:hAnsi="Californian FB"/>
          <w:sz w:val="24"/>
          <w:szCs w:val="24"/>
        </w:rPr>
        <w:t xml:space="preserve"> issues will become clear, and hopefully defects can be corrected by regulatory or statutory amendments.  That said, what’s your prediction?  CCB — good development or disaster waiting to happen?  </w:t>
      </w:r>
    </w:p>
    <w:p w14:paraId="2B93659C" w14:textId="74CE21BF" w:rsidR="00335774" w:rsidRDefault="00335774" w:rsidP="00ED6BE0">
      <w:pPr>
        <w:autoSpaceDE w:val="0"/>
        <w:autoSpaceDN w:val="0"/>
        <w:adjustRightInd w:val="0"/>
        <w:spacing w:line="240" w:lineRule="auto"/>
        <w:rPr>
          <w:rFonts w:ascii="Californian FB" w:hAnsi="Californian FB" w:cs="ITCGaramondStd-BkNarrowIta"/>
          <w:sz w:val="28"/>
          <w:szCs w:val="28"/>
        </w:rPr>
      </w:pPr>
      <w:r w:rsidRPr="005D105D">
        <w:rPr>
          <w:rFonts w:ascii="Californian FB" w:eastAsia="Times New Roman" w:hAnsi="Californian FB" w:cstheme="minorHAnsi"/>
          <w:b/>
          <w:sz w:val="28"/>
          <w:szCs w:val="28"/>
        </w:rPr>
        <w:t xml:space="preserve">Chapter 7: </w:t>
      </w:r>
      <w:r w:rsidR="005D105D" w:rsidRPr="005D105D">
        <w:rPr>
          <w:rFonts w:ascii="Californian FB" w:hAnsi="Californian FB" w:cs="ITCGaramondStd-BkNarrowIta"/>
          <w:i/>
          <w:iCs/>
          <w:sz w:val="28"/>
          <w:szCs w:val="28"/>
        </w:rPr>
        <w:t>The 1909 Act Framework and</w:t>
      </w:r>
      <w:r w:rsidR="005D105D">
        <w:rPr>
          <w:rFonts w:ascii="Californian FB" w:hAnsi="Californian FB" w:cs="ITCGaramondStd-BkNarrowIta"/>
          <w:i/>
          <w:iCs/>
          <w:sz w:val="28"/>
          <w:szCs w:val="28"/>
        </w:rPr>
        <w:t xml:space="preserve"> </w:t>
      </w:r>
      <w:r w:rsidR="005D105D" w:rsidRPr="005D105D">
        <w:rPr>
          <w:rFonts w:ascii="Californian FB" w:hAnsi="Californian FB" w:cs="ITCGaramondStd-BkNarrowIta"/>
          <w:i/>
          <w:iCs/>
          <w:sz w:val="28"/>
          <w:szCs w:val="28"/>
        </w:rPr>
        <w:t>Its Partial Persistence:</w:t>
      </w:r>
      <w:r w:rsidR="005D105D">
        <w:rPr>
          <w:rFonts w:ascii="Californian FB" w:hAnsi="Californian FB" w:cs="ITCGaramondStd-BkNarrowIta"/>
          <w:i/>
          <w:iCs/>
          <w:sz w:val="28"/>
          <w:szCs w:val="28"/>
        </w:rPr>
        <w:t xml:space="preserve"> </w:t>
      </w:r>
      <w:r w:rsidR="005D105D" w:rsidRPr="005D105D">
        <w:rPr>
          <w:rFonts w:ascii="Californian FB" w:hAnsi="Californian FB" w:cs="ITCGaramondStd-BkNarrowIta"/>
          <w:i/>
          <w:iCs/>
          <w:sz w:val="28"/>
          <w:szCs w:val="28"/>
        </w:rPr>
        <w:t>Of Publication, Notice, Deposit</w:t>
      </w:r>
      <w:r w:rsidR="005D105D">
        <w:rPr>
          <w:rFonts w:ascii="Californian FB" w:hAnsi="Californian FB" w:cs="ITCGaramondStd-BkNarrowIta"/>
          <w:i/>
          <w:iCs/>
          <w:sz w:val="28"/>
          <w:szCs w:val="28"/>
        </w:rPr>
        <w:t xml:space="preserve"> </w:t>
      </w:r>
      <w:r w:rsidR="005D105D" w:rsidRPr="005D105D">
        <w:rPr>
          <w:rFonts w:ascii="Californian FB" w:hAnsi="Californian FB" w:cs="ITCGaramondStd-BkNarrowIta"/>
          <w:i/>
          <w:iCs/>
          <w:sz w:val="28"/>
          <w:szCs w:val="28"/>
        </w:rPr>
        <w:t>and Registration</w:t>
      </w:r>
    </w:p>
    <w:p w14:paraId="2F5533E2" w14:textId="77777777" w:rsidR="00F92303" w:rsidRDefault="00F92303" w:rsidP="00F92303">
      <w:pPr>
        <w:autoSpaceDE w:val="0"/>
        <w:autoSpaceDN w:val="0"/>
        <w:adjustRightInd w:val="0"/>
        <w:spacing w:line="240" w:lineRule="auto"/>
        <w:rPr>
          <w:rFonts w:ascii="Californian FB" w:hAnsi="Californian FB" w:cs="ITCGaramondStd-BkNarrowIta"/>
          <w:b/>
          <w:iCs/>
          <w:sz w:val="28"/>
          <w:szCs w:val="28"/>
        </w:rPr>
      </w:pPr>
      <w:r>
        <w:rPr>
          <w:rFonts w:ascii="Californian FB" w:hAnsi="Californian FB" w:cs="ITCGaramondStd-BkNarrowIta"/>
          <w:b/>
          <w:iCs/>
          <w:sz w:val="28"/>
          <w:szCs w:val="28"/>
        </w:rPr>
        <w:t>B. Publication</w:t>
      </w:r>
    </w:p>
    <w:p w14:paraId="28A90A11" w14:textId="6337507E" w:rsidR="00F92303" w:rsidRDefault="00F92303" w:rsidP="00F92303">
      <w:pPr>
        <w:autoSpaceDE w:val="0"/>
        <w:autoSpaceDN w:val="0"/>
        <w:adjustRightInd w:val="0"/>
        <w:spacing w:line="240" w:lineRule="auto"/>
        <w:rPr>
          <w:rFonts w:ascii="Californian FB" w:hAnsi="Californian FB" w:cs="ITCGaramondStd-BkNarrowIta"/>
          <w:b/>
          <w:iCs/>
          <w:sz w:val="28"/>
          <w:szCs w:val="28"/>
        </w:rPr>
      </w:pPr>
      <w:r>
        <w:rPr>
          <w:rFonts w:ascii="Californian FB" w:hAnsi="Californian FB" w:cs="ITCGaramondStd-BkNarrowIta"/>
          <w:b/>
          <w:iCs/>
          <w:sz w:val="28"/>
          <w:szCs w:val="28"/>
        </w:rPr>
        <w:t>1. Distribution</w:t>
      </w:r>
    </w:p>
    <w:p w14:paraId="27AF43F8" w14:textId="3CAE0AB9" w:rsidR="00F92303" w:rsidRDefault="00F92303" w:rsidP="00F92303">
      <w:pPr>
        <w:autoSpaceDE w:val="0"/>
        <w:autoSpaceDN w:val="0"/>
        <w:adjustRightInd w:val="0"/>
        <w:spacing w:line="240" w:lineRule="auto"/>
        <w:rPr>
          <w:rFonts w:ascii="Californian FB" w:hAnsi="Californian FB" w:cs="ITCGaramondStd-BkNarrowIta"/>
          <w:bCs/>
          <w:iCs/>
          <w:sz w:val="28"/>
          <w:szCs w:val="28"/>
        </w:rPr>
      </w:pPr>
      <w:r>
        <w:rPr>
          <w:rFonts w:ascii="Californian FB" w:hAnsi="Californian FB" w:cs="ITCGaramondStd-BkNarrowIta"/>
          <w:bCs/>
          <w:iCs/>
          <w:sz w:val="28"/>
          <w:szCs w:val="28"/>
        </w:rPr>
        <w:t>Page 511 – In the “Food for Thought” box, replace the first sentence with the following:</w:t>
      </w:r>
    </w:p>
    <w:p w14:paraId="7BDE3185" w14:textId="237C6A50" w:rsidR="00F92303" w:rsidRPr="004628D5" w:rsidRDefault="004628D5" w:rsidP="004628D5">
      <w:pPr>
        <w:autoSpaceDE w:val="0"/>
        <w:autoSpaceDN w:val="0"/>
        <w:adjustRightInd w:val="0"/>
        <w:spacing w:after="0" w:line="240" w:lineRule="auto"/>
        <w:rPr>
          <w:rFonts w:ascii="Californian FB" w:hAnsi="Californian FB" w:cs="ITCGaramondStd-BkNarrowIta"/>
          <w:bCs/>
          <w:iCs/>
          <w:sz w:val="24"/>
          <w:szCs w:val="24"/>
        </w:rPr>
      </w:pPr>
      <w:r w:rsidRPr="004628D5">
        <w:rPr>
          <w:rFonts w:ascii="Californian FB" w:hAnsi="Californian FB" w:cs="BerkeleyStd-Book"/>
          <w:sz w:val="24"/>
          <w:szCs w:val="24"/>
        </w:rPr>
        <w:t>Notice that the Academy of Motion Picture Arts and Sciences court acknowledges the decision in the Letter Edged in Black Press case</w:t>
      </w:r>
      <w:r>
        <w:rPr>
          <w:rFonts w:ascii="Californian FB" w:hAnsi="Californian FB" w:cs="BerkeleyStd-Book"/>
          <w:sz w:val="24"/>
          <w:szCs w:val="24"/>
        </w:rPr>
        <w:t xml:space="preserve">, excerpted below on p. 522, </w:t>
      </w:r>
      <w:r w:rsidRPr="004628D5">
        <w:rPr>
          <w:rFonts w:ascii="Californian FB" w:hAnsi="Californian FB" w:cs="BerkeleyStd-Book"/>
          <w:sz w:val="24"/>
          <w:szCs w:val="24"/>
        </w:rPr>
        <w:t>only with a “cf.” cite.</w:t>
      </w:r>
    </w:p>
    <w:p w14:paraId="44A801E5" w14:textId="77777777" w:rsidR="00F92303" w:rsidRPr="00F92303" w:rsidRDefault="00F92303" w:rsidP="00ED6BE0">
      <w:pPr>
        <w:autoSpaceDE w:val="0"/>
        <w:autoSpaceDN w:val="0"/>
        <w:adjustRightInd w:val="0"/>
        <w:spacing w:line="240" w:lineRule="auto"/>
        <w:rPr>
          <w:rFonts w:ascii="Californian FB" w:hAnsi="Californian FB" w:cs="ITCGaramondStd-BkNarrowIta"/>
          <w:sz w:val="28"/>
          <w:szCs w:val="28"/>
        </w:rPr>
      </w:pPr>
    </w:p>
    <w:p w14:paraId="3438E4EF" w14:textId="05B37500" w:rsidR="005D105D" w:rsidRPr="00B95F09" w:rsidRDefault="005D105D" w:rsidP="00ED6BE0">
      <w:pPr>
        <w:autoSpaceDE w:val="0"/>
        <w:autoSpaceDN w:val="0"/>
        <w:adjustRightInd w:val="0"/>
        <w:spacing w:line="240" w:lineRule="auto"/>
        <w:rPr>
          <w:rFonts w:ascii="Californian FB" w:eastAsia="Times New Roman" w:hAnsi="Californian FB" w:cstheme="minorHAnsi"/>
          <w:b/>
          <w:sz w:val="28"/>
          <w:szCs w:val="28"/>
        </w:rPr>
      </w:pPr>
      <w:r w:rsidRPr="00B95F09">
        <w:rPr>
          <w:rFonts w:ascii="Californian FB" w:hAnsi="Californian FB" w:cs="ITCGaramondStd-BkNarrowIta"/>
          <w:b/>
          <w:iCs/>
          <w:sz w:val="28"/>
          <w:szCs w:val="28"/>
        </w:rPr>
        <w:t>C. Notice</w:t>
      </w:r>
    </w:p>
    <w:p w14:paraId="33CAE7F0" w14:textId="3BB7E9BC" w:rsidR="00335774" w:rsidRDefault="00335774" w:rsidP="00ED6BE0">
      <w:pPr>
        <w:autoSpaceDE w:val="0"/>
        <w:autoSpaceDN w:val="0"/>
        <w:adjustRightInd w:val="0"/>
        <w:spacing w:line="240" w:lineRule="auto"/>
        <w:rPr>
          <w:rFonts w:ascii="Californian FB" w:eastAsia="Times New Roman" w:hAnsi="Californian FB" w:cstheme="minorHAnsi"/>
          <w:sz w:val="28"/>
          <w:szCs w:val="28"/>
        </w:rPr>
      </w:pPr>
      <w:r>
        <w:rPr>
          <w:rFonts w:ascii="Californian FB" w:eastAsia="Times New Roman" w:hAnsi="Californian FB" w:cstheme="minorHAnsi"/>
          <w:sz w:val="28"/>
          <w:szCs w:val="28"/>
        </w:rPr>
        <w:t>p. 532: Replace note 4 with the following:</w:t>
      </w:r>
    </w:p>
    <w:p w14:paraId="198EA3B8" w14:textId="5DE8E563" w:rsidR="00335774" w:rsidRDefault="004628D5" w:rsidP="004628D5">
      <w:pPr>
        <w:autoSpaceDE w:val="0"/>
        <w:autoSpaceDN w:val="0"/>
        <w:adjustRightInd w:val="0"/>
        <w:ind w:left="360" w:hanging="360"/>
        <w:jc w:val="both"/>
        <w:rPr>
          <w:rFonts w:ascii="Californian FB" w:eastAsia="Times New Roman" w:hAnsi="Californian FB" w:cstheme="minorHAnsi"/>
          <w:sz w:val="24"/>
          <w:szCs w:val="24"/>
        </w:rPr>
      </w:pPr>
      <w:r w:rsidRPr="003D7E14">
        <w:rPr>
          <w:rFonts w:ascii="Californian FB" w:hAnsi="Californian FB"/>
          <w:noProof/>
          <w:color w:val="000000"/>
          <w:sz w:val="24"/>
          <w:szCs w:val="24"/>
        </w:rPr>
        <mc:AlternateContent>
          <mc:Choice Requires="wps">
            <w:drawing>
              <wp:anchor distT="0" distB="0" distL="114300" distR="114300" simplePos="0" relativeHeight="251659264" behindDoc="0" locked="0" layoutInCell="1" allowOverlap="1" wp14:anchorId="68EE512D" wp14:editId="04734B31">
                <wp:simplePos x="0" y="0"/>
                <wp:positionH relativeFrom="column">
                  <wp:posOffset>242570</wp:posOffset>
                </wp:positionH>
                <wp:positionV relativeFrom="paragraph">
                  <wp:posOffset>838200</wp:posOffset>
                </wp:positionV>
                <wp:extent cx="1707515" cy="891540"/>
                <wp:effectExtent l="0" t="0" r="6985" b="5715"/>
                <wp:wrapSquare wrapText="bothSides"/>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91540"/>
                        </a:xfrm>
                        <a:prstGeom prst="rect">
                          <a:avLst/>
                        </a:prstGeom>
                        <a:solidFill>
                          <a:srgbClr val="B8CCE4"/>
                        </a:solidFill>
                        <a:ln w="9525">
                          <a:noFill/>
                          <a:miter lim="800000"/>
                          <a:headEnd/>
                          <a:tailEnd/>
                        </a:ln>
                      </wps:spPr>
                      <wps:txbx>
                        <w:txbxContent>
                          <w:p w14:paraId="6FAC7B76" w14:textId="26B3AE1A" w:rsidR="00C747A6" w:rsidRPr="00033D51" w:rsidRDefault="00C747A6" w:rsidP="005D105D">
                            <w:pPr>
                              <w:spacing w:after="120"/>
                              <w:jc w:val="center"/>
                              <w:rPr>
                                <w:rFonts w:ascii="Californian FB" w:hAnsi="Californian FB"/>
                                <w:b/>
                                <w:sz w:val="20"/>
                                <w:szCs w:val="20"/>
                              </w:rPr>
                            </w:pPr>
                            <w:r w:rsidRPr="00033D51">
                              <w:rPr>
                                <w:rFonts w:ascii="Californian FB" w:hAnsi="Californian FB"/>
                                <w:b/>
                                <w:sz w:val="20"/>
                                <w:szCs w:val="20"/>
                              </w:rPr>
                              <w:t>GO ONLINE</w:t>
                            </w:r>
                          </w:p>
                          <w:p w14:paraId="47093ED3" w14:textId="7FFA9682" w:rsidR="00C747A6" w:rsidRPr="00033D51" w:rsidRDefault="00C747A6" w:rsidP="00033D51">
                            <w:pPr>
                              <w:spacing w:after="120"/>
                              <w:jc w:val="both"/>
                              <w:rPr>
                                <w:rFonts w:ascii="Californian FB" w:hAnsi="Californian FB"/>
                                <w:sz w:val="20"/>
                                <w:szCs w:val="20"/>
                              </w:rPr>
                            </w:pPr>
                            <w:r w:rsidRPr="00033D51">
                              <w:rPr>
                                <w:rFonts w:ascii="Californian FB" w:hAnsi="Californian FB"/>
                                <w:sz w:val="20"/>
                                <w:szCs w:val="20"/>
                              </w:rPr>
                              <w:t xml:space="preserve">Did authors and publishers actually use “All Rights Reserved” in the 1870s and 1880s?  To examine the title and copyright pages of Mark Twain’s “Huckleberry Finn,” published in 1886, </w:t>
                            </w:r>
                            <w:hyperlink r:id="rId178" w:history="1">
                              <w:r w:rsidRPr="00033D51">
                                <w:rPr>
                                  <w:rStyle w:val="Hyperlink"/>
                                  <w:rFonts w:ascii="Californian FB" w:hAnsi="Californian FB"/>
                                  <w:sz w:val="20"/>
                                  <w:szCs w:val="20"/>
                                </w:rPr>
                                <w:t>click here</w:t>
                              </w:r>
                            </w:hyperlink>
                            <w:r w:rsidRPr="00033D51">
                              <w:rPr>
                                <w:rFonts w:ascii="Californian FB" w:hAnsi="Californian FB"/>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EE512D" id="_x0000_s1038" type="#_x0000_t202" style="position:absolute;left:0;text-align:left;margin-left:19.1pt;margin-top:66pt;width:134.45pt;height:70.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" fillcolor="#b8cce4" stroked="f">
                <v:textbox style="mso-fit-shape-to-text:t">
                  <w:txbxContent>
                    <w:p w14:paraId="6FAC7B76" w14:textId="26B3AE1A" w:rsidR="00C747A6" w:rsidRPr="00033D51" w:rsidRDefault="00C747A6" w:rsidP="005D105D">
                      <w:pPr>
                        <w:spacing w:after="120"/>
                        <w:jc w:val="center"/>
                        <w:rPr>
                          <w:rFonts w:ascii="Californian FB" w:hAnsi="Californian FB"/>
                          <w:b/>
                          <w:sz w:val="20"/>
                          <w:szCs w:val="20"/>
                        </w:rPr>
                      </w:pPr>
                      <w:r w:rsidRPr="00033D51">
                        <w:rPr>
                          <w:rFonts w:ascii="Californian FB" w:hAnsi="Californian FB"/>
                          <w:b/>
                          <w:sz w:val="20"/>
                          <w:szCs w:val="20"/>
                        </w:rPr>
                        <w:t>GO ONLINE</w:t>
                      </w:r>
                    </w:p>
                    <w:p w14:paraId="47093ED3" w14:textId="7FFA9682" w:rsidR="00C747A6" w:rsidRPr="00033D51" w:rsidRDefault="00C747A6" w:rsidP="00033D51">
                      <w:pPr>
                        <w:spacing w:after="120"/>
                        <w:jc w:val="both"/>
                        <w:rPr>
                          <w:rFonts w:ascii="Californian FB" w:hAnsi="Californian FB"/>
                          <w:sz w:val="20"/>
                          <w:szCs w:val="20"/>
                        </w:rPr>
                      </w:pPr>
                      <w:r w:rsidRPr="00033D51">
                        <w:rPr>
                          <w:rFonts w:ascii="Californian FB" w:hAnsi="Californian FB"/>
                          <w:sz w:val="20"/>
                          <w:szCs w:val="20"/>
                        </w:rPr>
                        <w:t xml:space="preserve">Did authors and publishers actually use “All Rights Reserved” in the 1870s and 1880s?  To examine the title and copyright pages of Mark Twain’s “Huckleberry Finn,” published in 1886, </w:t>
                      </w:r>
                      <w:hyperlink r:id="rId179" w:history="1">
                        <w:r w:rsidRPr="00033D51">
                          <w:rPr>
                            <w:rStyle w:val="Hyperlink"/>
                            <w:rFonts w:ascii="Californian FB" w:hAnsi="Californian FB"/>
                            <w:sz w:val="20"/>
                            <w:szCs w:val="20"/>
                          </w:rPr>
                          <w:t>click here</w:t>
                        </w:r>
                      </w:hyperlink>
                      <w:r w:rsidRPr="00033D51">
                        <w:rPr>
                          <w:rFonts w:ascii="Californian FB" w:hAnsi="Californian FB"/>
                          <w:sz w:val="20"/>
                          <w:szCs w:val="20"/>
                        </w:rPr>
                        <w:t xml:space="preserve">.  </w:t>
                      </w:r>
                    </w:p>
                  </w:txbxContent>
                </v:textbox>
                <w10:wrap type="square"/>
              </v:shape>
            </w:pict>
          </mc:Fallback>
        </mc:AlternateContent>
      </w:r>
      <w:r w:rsidR="00335774" w:rsidRPr="00335774">
        <w:rPr>
          <w:rFonts w:ascii="Californian FB" w:eastAsia="Times New Roman" w:hAnsi="Californian FB" w:cstheme="minorHAnsi"/>
          <w:b/>
          <w:sz w:val="24"/>
          <w:szCs w:val="24"/>
        </w:rPr>
        <w:t>4.  All Rights Reserved.</w:t>
      </w:r>
      <w:r w:rsidR="00335774" w:rsidRPr="00335774">
        <w:rPr>
          <w:rFonts w:ascii="Californian FB" w:eastAsia="Times New Roman" w:hAnsi="Californian FB" w:cstheme="minorHAnsi"/>
          <w:sz w:val="24"/>
          <w:szCs w:val="24"/>
        </w:rPr>
        <w:t xml:space="preserve"> Flip </w:t>
      </w:r>
      <w:proofErr w:type="gramStart"/>
      <w:r w:rsidR="00335774" w:rsidRPr="00335774">
        <w:rPr>
          <w:rFonts w:ascii="Californian FB" w:eastAsia="Times New Roman" w:hAnsi="Californian FB" w:cstheme="minorHAnsi"/>
          <w:sz w:val="24"/>
          <w:szCs w:val="24"/>
        </w:rPr>
        <w:t>open</w:t>
      </w:r>
      <w:proofErr w:type="gramEnd"/>
      <w:r w:rsidR="00335774" w:rsidRPr="00335774">
        <w:rPr>
          <w:rFonts w:ascii="Californian FB" w:eastAsia="Times New Roman" w:hAnsi="Californian FB" w:cstheme="minorHAnsi"/>
          <w:sz w:val="24"/>
          <w:szCs w:val="24"/>
        </w:rPr>
        <w:t xml:space="preserve"> any book you have lying around your apartment and read the copyright information. It is likely that you will see the phrase “All Rights Reserved” next to any copyright notice the publisher has included. This phrase is meaningless under current law</w:t>
      </w:r>
      <w:r w:rsidR="003C5461">
        <w:rPr>
          <w:rFonts w:ascii="Californian FB" w:eastAsia="Times New Roman" w:hAnsi="Californian FB" w:cstheme="minorHAnsi"/>
          <w:sz w:val="24"/>
          <w:szCs w:val="24"/>
        </w:rPr>
        <w:t xml:space="preserve">, and is </w:t>
      </w:r>
      <w:r w:rsidR="00335774" w:rsidRPr="00335774">
        <w:rPr>
          <w:rFonts w:ascii="Californian FB" w:eastAsia="Times New Roman" w:hAnsi="Californian FB" w:cstheme="minorHAnsi"/>
          <w:sz w:val="24"/>
          <w:szCs w:val="24"/>
        </w:rPr>
        <w:t xml:space="preserve">included </w:t>
      </w:r>
      <w:r w:rsidR="003C5461">
        <w:rPr>
          <w:rFonts w:ascii="Californian FB" w:eastAsia="Times New Roman" w:hAnsi="Californian FB" w:cstheme="minorHAnsi"/>
          <w:sz w:val="24"/>
          <w:szCs w:val="24"/>
        </w:rPr>
        <w:t xml:space="preserve">only </w:t>
      </w:r>
      <w:r w:rsidR="00335774" w:rsidRPr="00335774">
        <w:rPr>
          <w:rFonts w:ascii="Californian FB" w:eastAsia="Times New Roman" w:hAnsi="Californian FB" w:cstheme="minorHAnsi"/>
          <w:sz w:val="24"/>
          <w:szCs w:val="24"/>
        </w:rPr>
        <w:t xml:space="preserve">as </w:t>
      </w:r>
      <w:r w:rsidR="003C5461">
        <w:rPr>
          <w:rFonts w:ascii="Californian FB" w:eastAsia="Times New Roman" w:hAnsi="Californian FB" w:cstheme="minorHAnsi"/>
          <w:sz w:val="24"/>
          <w:szCs w:val="24"/>
        </w:rPr>
        <w:t xml:space="preserve">a </w:t>
      </w:r>
      <w:r w:rsidR="00335774" w:rsidRPr="00335774">
        <w:rPr>
          <w:rFonts w:ascii="Californian FB" w:eastAsia="Times New Roman" w:hAnsi="Californian FB" w:cstheme="minorHAnsi"/>
          <w:sz w:val="24"/>
          <w:szCs w:val="24"/>
        </w:rPr>
        <w:t xml:space="preserve">matter of habit and reflex. The practice of using the words originally developed under the Copyright Act of 1870, which after </w:t>
      </w:r>
      <w:r w:rsidR="00335774">
        <w:rPr>
          <w:rFonts w:ascii="Californian FB" w:eastAsia="Times New Roman" w:hAnsi="Californian FB" w:cstheme="minorHAnsi"/>
          <w:sz w:val="24"/>
          <w:szCs w:val="24"/>
        </w:rPr>
        <w:t>granting</w:t>
      </w:r>
      <w:r w:rsidR="00335774" w:rsidRPr="00335774">
        <w:rPr>
          <w:rFonts w:ascii="Californian FB" w:eastAsia="Times New Roman" w:hAnsi="Californian FB" w:cstheme="minorHAnsi"/>
          <w:sz w:val="24"/>
          <w:szCs w:val="24"/>
        </w:rPr>
        <w:t xml:space="preserve"> exclusive rights such as copying and vending, added </w:t>
      </w:r>
      <w:r w:rsidR="00335774">
        <w:rPr>
          <w:rFonts w:ascii="Californian FB" w:eastAsia="Times New Roman" w:hAnsi="Californian FB" w:cstheme="minorHAnsi"/>
          <w:sz w:val="24"/>
          <w:szCs w:val="24"/>
        </w:rPr>
        <w:t xml:space="preserve">that </w:t>
      </w:r>
      <w:r w:rsidR="00335774" w:rsidRPr="00335774">
        <w:rPr>
          <w:rFonts w:ascii="Californian FB" w:eastAsia="Times New Roman" w:hAnsi="Californian FB" w:cs="Times New Roman"/>
          <w:sz w:val="24"/>
          <w:szCs w:val="24"/>
        </w:rPr>
        <w:t>“</w:t>
      </w:r>
      <w:r w:rsidR="00335774" w:rsidRPr="00335774">
        <w:rPr>
          <w:rFonts w:ascii="Californian FB" w:hAnsi="Californian FB" w:cs="Times New Roman"/>
          <w:color w:val="222222"/>
          <w:sz w:val="24"/>
          <w:szCs w:val="24"/>
          <w:shd w:val="clear" w:color="auto" w:fill="FFFFFF"/>
        </w:rPr>
        <w:t>authors may reserve the right to dramatize or to translate their own works.</w:t>
      </w:r>
      <w:r w:rsidR="00335774">
        <w:rPr>
          <w:rFonts w:ascii="Californian FB" w:hAnsi="Californian FB" w:cs="Times New Roman"/>
          <w:color w:val="222222"/>
          <w:sz w:val="24"/>
          <w:szCs w:val="24"/>
          <w:shd w:val="clear" w:color="auto" w:fill="FFFFFF"/>
        </w:rPr>
        <w:t xml:space="preserve">” The Library of Congress </w:t>
      </w:r>
      <w:r w:rsidR="003C5461">
        <w:rPr>
          <w:rFonts w:ascii="Californian FB" w:hAnsi="Californian FB" w:cs="Times New Roman"/>
          <w:color w:val="222222"/>
          <w:sz w:val="24"/>
          <w:szCs w:val="24"/>
          <w:shd w:val="clear" w:color="auto" w:fill="FFFFFF"/>
        </w:rPr>
        <w:t xml:space="preserve">advised authors that that provision might require </w:t>
      </w:r>
      <w:r w:rsidR="00335774">
        <w:rPr>
          <w:rFonts w:ascii="Californian FB" w:hAnsi="Californian FB" w:cs="Times New Roman"/>
          <w:color w:val="222222"/>
          <w:sz w:val="24"/>
          <w:szCs w:val="24"/>
          <w:shd w:val="clear" w:color="auto" w:fill="FFFFFF"/>
        </w:rPr>
        <w:t xml:space="preserve">an affirmative statement </w:t>
      </w:r>
      <w:r w:rsidR="003C5461">
        <w:rPr>
          <w:rFonts w:ascii="Californian FB" w:hAnsi="Californian FB" w:cs="Times New Roman"/>
          <w:color w:val="222222"/>
          <w:sz w:val="24"/>
          <w:szCs w:val="24"/>
          <w:shd w:val="clear" w:color="auto" w:fill="FFFFFF"/>
        </w:rPr>
        <w:t>to ensure the retention of righ</w:t>
      </w:r>
      <w:r w:rsidR="00335774">
        <w:rPr>
          <w:rFonts w:ascii="Californian FB" w:hAnsi="Californian FB" w:cs="Times New Roman"/>
          <w:color w:val="222222"/>
          <w:sz w:val="24"/>
          <w:szCs w:val="24"/>
          <w:shd w:val="clear" w:color="auto" w:fill="FFFFFF"/>
        </w:rPr>
        <w:t xml:space="preserve">ts of dramatization and translation, and suggested that they use the phrase “All Rights Reserved.” In 1891, Congress removed the “may reserve” language, and granted rights of dramatization and translation outright, thus eliminating the need to use “All Rights Reserved.” Nineteen years later, the phrase was resurrected by </w:t>
      </w:r>
      <w:r w:rsidR="00335774" w:rsidRPr="00335774">
        <w:rPr>
          <w:rFonts w:ascii="Californian FB" w:eastAsia="Times New Roman" w:hAnsi="Californian FB" w:cstheme="minorHAnsi"/>
          <w:sz w:val="24"/>
          <w:szCs w:val="24"/>
        </w:rPr>
        <w:t xml:space="preserve">a copyright treaty known </w:t>
      </w:r>
      <w:r w:rsidR="00335774">
        <w:rPr>
          <w:rFonts w:ascii="Californian FB" w:eastAsia="Times New Roman" w:hAnsi="Californian FB" w:cstheme="minorHAnsi"/>
          <w:sz w:val="24"/>
          <w:szCs w:val="24"/>
        </w:rPr>
        <w:t>as the Buenos Aires Convention, which provided that copyright in Western Hemisphere countries that were parties to the treaty</w:t>
      </w:r>
      <w:r w:rsidR="00335774" w:rsidRPr="00335774">
        <w:rPr>
          <w:rFonts w:ascii="Californian FB" w:eastAsia="Times New Roman" w:hAnsi="Californian FB" w:cstheme="minorHAnsi"/>
          <w:sz w:val="24"/>
          <w:szCs w:val="24"/>
        </w:rPr>
        <w:t xml:space="preserve"> </w:t>
      </w:r>
      <w:r w:rsidR="00335774">
        <w:rPr>
          <w:rFonts w:ascii="Californian FB" w:eastAsia="Times New Roman" w:hAnsi="Californian FB" w:cstheme="minorHAnsi"/>
          <w:sz w:val="24"/>
          <w:szCs w:val="24"/>
        </w:rPr>
        <w:t xml:space="preserve">could be </w:t>
      </w:r>
      <w:r w:rsidR="003C5461">
        <w:rPr>
          <w:rFonts w:ascii="Californian FB" w:eastAsia="Times New Roman" w:hAnsi="Californian FB" w:cstheme="minorHAnsi"/>
          <w:sz w:val="24"/>
          <w:szCs w:val="24"/>
        </w:rPr>
        <w:t xml:space="preserve">secured by </w:t>
      </w:r>
      <w:r w:rsidR="00335774">
        <w:rPr>
          <w:rFonts w:ascii="Californian FB" w:eastAsia="Times New Roman" w:hAnsi="Californian FB" w:cstheme="minorHAnsi"/>
          <w:sz w:val="24"/>
          <w:szCs w:val="24"/>
        </w:rPr>
        <w:t xml:space="preserve">inserting the phrase in published copies. </w:t>
      </w:r>
      <w:r w:rsidR="00335774" w:rsidRPr="00335774">
        <w:rPr>
          <w:rFonts w:ascii="Californian FB" w:eastAsia="Times New Roman" w:hAnsi="Californian FB" w:cstheme="minorHAnsi"/>
          <w:sz w:val="24"/>
          <w:szCs w:val="24"/>
        </w:rPr>
        <w:t xml:space="preserve">(For more detail, see the review of international copyright law provided as an online adjunct to this book by </w:t>
      </w:r>
      <w:hyperlink r:id="rId180" w:history="1">
        <w:r w:rsidR="00335774" w:rsidRPr="003C5461">
          <w:rPr>
            <w:rStyle w:val="Hyperlink"/>
            <w:rFonts w:ascii="Californian FB" w:eastAsia="Times New Roman" w:hAnsi="Californian FB" w:cstheme="minorHAnsi"/>
            <w:sz w:val="24"/>
            <w:szCs w:val="24"/>
          </w:rPr>
          <w:t>clicking here</w:t>
        </w:r>
      </w:hyperlink>
      <w:r w:rsidR="00335774" w:rsidRPr="00335774">
        <w:rPr>
          <w:rFonts w:ascii="Californian FB" w:eastAsia="Times New Roman" w:hAnsi="Californian FB" w:cstheme="minorHAnsi"/>
          <w:sz w:val="24"/>
          <w:szCs w:val="24"/>
        </w:rPr>
        <w:t>.) However, in the century since that treaty was finalized, every party to it has signed the Berne Convention, which forbids member states from conditioning copyright on any formalities.</w:t>
      </w:r>
      <w:r w:rsidR="00335774">
        <w:rPr>
          <w:rFonts w:ascii="Californian FB" w:eastAsia="Times New Roman" w:hAnsi="Californian FB" w:cstheme="minorHAnsi"/>
          <w:sz w:val="24"/>
          <w:szCs w:val="24"/>
        </w:rPr>
        <w:t xml:space="preserve">  Thus, “All Rights Reserved”</w:t>
      </w:r>
      <w:r w:rsidR="003C5461">
        <w:rPr>
          <w:rFonts w:ascii="Californian FB" w:eastAsia="Times New Roman" w:hAnsi="Californian FB" w:cstheme="minorHAnsi"/>
          <w:sz w:val="24"/>
          <w:szCs w:val="24"/>
        </w:rPr>
        <w:t xml:space="preserve"> is now purely vestigial – just like wisdom teeth and goose bumps.</w:t>
      </w:r>
    </w:p>
    <w:p w14:paraId="539753BC" w14:textId="77777777" w:rsidR="008E52F0" w:rsidRDefault="008E52F0" w:rsidP="00ED6BE0">
      <w:pPr>
        <w:autoSpaceDE w:val="0"/>
        <w:autoSpaceDN w:val="0"/>
        <w:adjustRightInd w:val="0"/>
        <w:spacing w:line="240" w:lineRule="auto"/>
        <w:jc w:val="both"/>
        <w:rPr>
          <w:rFonts w:ascii="Californian FB" w:eastAsia="Times New Roman" w:hAnsi="Californian FB" w:cstheme="minorHAnsi"/>
          <w:sz w:val="24"/>
          <w:szCs w:val="24"/>
        </w:rPr>
      </w:pPr>
    </w:p>
    <w:p w14:paraId="6F7425F1" w14:textId="375B919D" w:rsidR="008E52F0" w:rsidRDefault="008E52F0" w:rsidP="00ED6BE0">
      <w:pPr>
        <w:autoSpaceDE w:val="0"/>
        <w:autoSpaceDN w:val="0"/>
        <w:adjustRightInd w:val="0"/>
        <w:spacing w:line="240" w:lineRule="auto"/>
        <w:rPr>
          <w:rFonts w:ascii="Californian FB" w:eastAsia="Times New Roman" w:hAnsi="Californian FB" w:cstheme="minorHAnsi"/>
          <w:b/>
          <w:sz w:val="28"/>
          <w:szCs w:val="28"/>
        </w:rPr>
      </w:pPr>
      <w:r w:rsidRPr="008E52F0">
        <w:rPr>
          <w:rFonts w:ascii="Californian FB" w:eastAsia="Times New Roman" w:hAnsi="Californian FB" w:cstheme="minorHAnsi"/>
          <w:b/>
          <w:sz w:val="28"/>
          <w:szCs w:val="28"/>
        </w:rPr>
        <w:t>E. Registration</w:t>
      </w:r>
    </w:p>
    <w:p w14:paraId="743E8DAB" w14:textId="333DA2C4" w:rsidR="00200282" w:rsidRPr="00200282" w:rsidRDefault="00200282" w:rsidP="00200282">
      <w:pPr>
        <w:rPr>
          <w:rFonts w:ascii="Californian FB" w:hAnsi="Californian FB"/>
          <w:sz w:val="28"/>
          <w:szCs w:val="28"/>
        </w:rPr>
      </w:pPr>
      <w:r w:rsidRPr="00200282">
        <w:rPr>
          <w:rFonts w:ascii="Californian FB" w:hAnsi="Californian FB"/>
          <w:sz w:val="28"/>
          <w:szCs w:val="28"/>
        </w:rPr>
        <w:t>Page 550 – Insert the following in place of the second paragraph in Note 4</w:t>
      </w:r>
      <w:r>
        <w:rPr>
          <w:rFonts w:ascii="Californian FB" w:hAnsi="Californian FB"/>
          <w:sz w:val="28"/>
          <w:szCs w:val="28"/>
        </w:rPr>
        <w:t>:</w:t>
      </w:r>
    </w:p>
    <w:p w14:paraId="59032350" w14:textId="2545B0C0" w:rsidR="00200282" w:rsidRDefault="00200282" w:rsidP="00200282">
      <w:pPr>
        <w:jc w:val="both"/>
        <w:rPr>
          <w:rFonts w:ascii="Californian FB" w:hAnsi="Californian FB"/>
          <w:sz w:val="24"/>
          <w:szCs w:val="24"/>
        </w:rPr>
      </w:pPr>
      <w:r>
        <w:rPr>
          <w:rFonts w:ascii="Californian FB" w:hAnsi="Californian FB"/>
        </w:rPr>
        <w:tab/>
      </w:r>
      <w:r w:rsidRPr="004628D5">
        <w:rPr>
          <w:rFonts w:ascii="Californian FB" w:hAnsi="Californian FB"/>
          <w:sz w:val="24"/>
          <w:szCs w:val="24"/>
        </w:rPr>
        <w:t xml:space="preserve">The requirement of final action on a registration application before an infringement suit can be filed could result in unfairness to copyright owners.  For instance, the statute of limitations might run before the Copyright Office has made a decision on the application, leaving the copyright owner with no remedy due to administrative foot dragging.  This led some plaintiffs to argue that the requirement of § 411 should be deemed satisfied when the copyright owner filed a completed registration </w:t>
      </w:r>
      <w:r w:rsidRPr="004628D5">
        <w:rPr>
          <w:rFonts w:ascii="Californian FB" w:hAnsi="Californian FB"/>
          <w:i/>
          <w:sz w:val="24"/>
          <w:szCs w:val="24"/>
        </w:rPr>
        <w:t>application</w:t>
      </w:r>
      <w:r w:rsidRPr="004628D5">
        <w:rPr>
          <w:rFonts w:ascii="Californian FB" w:hAnsi="Californian FB"/>
          <w:sz w:val="24"/>
          <w:szCs w:val="24"/>
        </w:rPr>
        <w:t xml:space="preserve">, rather than when the registration was ultimately granted or denied.  This argument proved persuasive to some, but not all, of the various circuits.  </w:t>
      </w:r>
      <w:hyperlink r:id="rId181" w:history="1">
        <w:r w:rsidRPr="007C0518">
          <w:rPr>
            <w:rStyle w:val="Hyperlink"/>
            <w:rFonts w:ascii="Californian FB" w:hAnsi="Californian FB"/>
            <w:sz w:val="24"/>
            <w:szCs w:val="24"/>
          </w:rPr>
          <w:t xml:space="preserve">In </w:t>
        </w:r>
        <w:r w:rsidRPr="007C0518">
          <w:rPr>
            <w:rStyle w:val="Hyperlink"/>
            <w:rFonts w:ascii="Californian FB" w:hAnsi="Californian FB"/>
            <w:i/>
            <w:sz w:val="24"/>
            <w:szCs w:val="24"/>
          </w:rPr>
          <w:t xml:space="preserve">Fourth Estate Public Benefit Corp. v. Wall-Street.com, LLC, </w:t>
        </w:r>
        <w:r w:rsidRPr="007C0518">
          <w:rPr>
            <w:rStyle w:val="Hyperlink"/>
            <w:rFonts w:ascii="Californian FB" w:hAnsi="Californian FB"/>
            <w:sz w:val="24"/>
            <w:szCs w:val="24"/>
          </w:rPr>
          <w:t xml:space="preserve">139 </w:t>
        </w:r>
        <w:proofErr w:type="spellStart"/>
        <w:r w:rsidRPr="007C0518">
          <w:rPr>
            <w:rStyle w:val="Hyperlink"/>
            <w:rFonts w:ascii="Californian FB" w:hAnsi="Californian FB"/>
            <w:sz w:val="24"/>
            <w:szCs w:val="24"/>
          </w:rPr>
          <w:t>S.Ct</w:t>
        </w:r>
        <w:proofErr w:type="spellEnd"/>
        <w:r w:rsidRPr="007C0518">
          <w:rPr>
            <w:rStyle w:val="Hyperlink"/>
            <w:rFonts w:ascii="Californian FB" w:hAnsi="Californian FB"/>
            <w:sz w:val="24"/>
            <w:szCs w:val="24"/>
          </w:rPr>
          <w:t>. 881 (2019)</w:t>
        </w:r>
      </w:hyperlink>
      <w:r w:rsidR="007C0518">
        <w:rPr>
          <w:rFonts w:ascii="Californian FB" w:hAnsi="Californian FB"/>
          <w:sz w:val="24"/>
          <w:szCs w:val="24"/>
        </w:rPr>
        <w:t>,</w:t>
      </w:r>
      <w:r w:rsidRPr="004628D5">
        <w:rPr>
          <w:rFonts w:ascii="Californian FB" w:hAnsi="Californian FB"/>
          <w:sz w:val="24"/>
          <w:szCs w:val="24"/>
        </w:rPr>
        <w:t xml:space="preserve"> the Court resolved the circuit-split by unanimously holding that the unambiguous text of § 411 required final action by the Copyright Office – either an issued registration or a formal denial – before suit could be filed.  The Court found that the alternative reading of allowing suit based solely on a registration-application would render several other provisions of the statute superfluous.  Justice Ginsburg dismissed the </w:t>
      </w:r>
      <w:r w:rsidRPr="004628D5">
        <w:rPr>
          <w:rFonts w:ascii="Californian FB" w:hAnsi="Californian FB"/>
          <w:sz w:val="24"/>
          <w:szCs w:val="24"/>
        </w:rPr>
        <w:lastRenderedPageBreak/>
        <w:t>concern about delay by observing that “the average processing time for registration applications is currently seven months, leaving ample time to sue after the Register’s decision, even for infringement that began before submission of an application.”</w:t>
      </w:r>
    </w:p>
    <w:p w14:paraId="39CAE0E6" w14:textId="00839CA6" w:rsidR="00D96434" w:rsidRPr="00CC69C2" w:rsidRDefault="00D96434" w:rsidP="00200282">
      <w:pPr>
        <w:jc w:val="both"/>
        <w:rPr>
          <w:rFonts w:ascii="Californian FB" w:hAnsi="Californian FB"/>
          <w:sz w:val="28"/>
          <w:szCs w:val="28"/>
        </w:rPr>
      </w:pPr>
      <w:r w:rsidRPr="00CC69C2">
        <w:rPr>
          <w:rFonts w:ascii="Californian FB" w:hAnsi="Californian FB"/>
          <w:sz w:val="28"/>
          <w:szCs w:val="28"/>
        </w:rPr>
        <w:t>Page 552 – Insert the following above Note 7:</w:t>
      </w:r>
    </w:p>
    <w:p w14:paraId="0C4A3920" w14:textId="77777777" w:rsidR="00A10A22" w:rsidRDefault="00D96434" w:rsidP="00A10A22">
      <w:pPr>
        <w:ind w:left="360" w:hanging="360"/>
        <w:jc w:val="both"/>
        <w:rPr>
          <w:rFonts w:ascii="Californian FB" w:hAnsi="Californian FB" w:cs="MinionC"/>
          <w:sz w:val="24"/>
          <w:szCs w:val="24"/>
        </w:rPr>
      </w:pPr>
      <w:r w:rsidRPr="003071D7">
        <w:rPr>
          <w:rFonts w:ascii="Californian FB" w:hAnsi="Californian FB"/>
          <w:b/>
          <w:bCs/>
          <w:sz w:val="24"/>
          <w:szCs w:val="24"/>
        </w:rPr>
        <w:t>6A. Inaccuracies in Copyright Registrations</w:t>
      </w:r>
      <w:r w:rsidR="0002738B">
        <w:rPr>
          <w:rFonts w:ascii="Californian FB" w:hAnsi="Californian FB"/>
          <w:b/>
          <w:bCs/>
          <w:sz w:val="24"/>
          <w:szCs w:val="24"/>
        </w:rPr>
        <w:t>: Ignorance of the Law is Sometimes an Excuse</w:t>
      </w:r>
      <w:r w:rsidR="0034075A">
        <w:rPr>
          <w:rFonts w:ascii="Californian FB" w:hAnsi="Californian FB"/>
          <w:b/>
          <w:bCs/>
          <w:sz w:val="24"/>
          <w:szCs w:val="24"/>
        </w:rPr>
        <w:t xml:space="preserve">.  </w:t>
      </w:r>
      <w:r w:rsidR="008E4683">
        <w:rPr>
          <w:rFonts w:ascii="Californian FB" w:hAnsi="Californian FB"/>
          <w:sz w:val="24"/>
          <w:szCs w:val="24"/>
        </w:rPr>
        <w:t xml:space="preserve">Suppose that a registration application contains inaccurate information. </w:t>
      </w:r>
      <w:r w:rsidR="00BD7178">
        <w:rPr>
          <w:rFonts w:ascii="Californian FB" w:hAnsi="Californian FB"/>
          <w:sz w:val="24"/>
          <w:szCs w:val="24"/>
        </w:rPr>
        <w:t xml:space="preserve">Maybe it claims that the work was first published in the United States, when in fact it was first published in Iran, a country that has no copyright relations with the United States. Maybe it states the wrong year of birth of the author.  </w:t>
      </w:r>
      <w:r w:rsidR="003D4B63">
        <w:rPr>
          <w:rFonts w:ascii="Californian FB" w:hAnsi="Californian FB"/>
          <w:sz w:val="24"/>
          <w:szCs w:val="24"/>
        </w:rPr>
        <w:t xml:space="preserve">Suppose further that the Copyright Office grants the registration without discovering the inaccuracies.  </w:t>
      </w:r>
      <w:r w:rsidR="00BD7178">
        <w:rPr>
          <w:rFonts w:ascii="Californian FB" w:hAnsi="Californian FB"/>
          <w:sz w:val="24"/>
          <w:szCs w:val="24"/>
        </w:rPr>
        <w:t>When do</w:t>
      </w:r>
      <w:r w:rsidR="003D4B63">
        <w:rPr>
          <w:rFonts w:ascii="Californian FB" w:hAnsi="Californian FB"/>
          <w:sz w:val="24"/>
          <w:szCs w:val="24"/>
        </w:rPr>
        <w:t xml:space="preserve"> the</w:t>
      </w:r>
      <w:r w:rsidR="00BD7178">
        <w:rPr>
          <w:rFonts w:ascii="Californian FB" w:hAnsi="Californian FB"/>
          <w:sz w:val="24"/>
          <w:szCs w:val="24"/>
        </w:rPr>
        <w:t xml:space="preserve"> inaccuracies render the registration </w:t>
      </w:r>
      <w:r w:rsidR="003D4B63">
        <w:rPr>
          <w:rFonts w:ascii="Californian FB" w:hAnsi="Californian FB"/>
          <w:sz w:val="24"/>
          <w:szCs w:val="24"/>
        </w:rPr>
        <w:t>invalid, thus stopping the owner of copyright in a domestic work from suing for infringement (§411), or stopping the owner of copyright in any work from obtaining statutory damages and attorney’s fees (§412)</w:t>
      </w:r>
      <w:r w:rsidR="00915FB9">
        <w:rPr>
          <w:rFonts w:ascii="Californian FB" w:hAnsi="Californian FB"/>
          <w:sz w:val="24"/>
          <w:szCs w:val="24"/>
        </w:rPr>
        <w:t>?</w:t>
      </w:r>
      <w:r w:rsidR="00A10A22">
        <w:rPr>
          <w:rFonts w:ascii="Californian FB" w:hAnsi="Californian FB"/>
          <w:sz w:val="24"/>
          <w:szCs w:val="24"/>
        </w:rPr>
        <w:t xml:space="preserve"> </w:t>
      </w:r>
      <w:r w:rsidR="00915FB9">
        <w:rPr>
          <w:rFonts w:ascii="Californian FB" w:hAnsi="Californian FB"/>
          <w:b/>
          <w:bCs/>
          <w:sz w:val="24"/>
          <w:szCs w:val="24"/>
        </w:rPr>
        <w:t>S</w:t>
      </w:r>
      <w:r w:rsidR="00915FB9" w:rsidRPr="00915FB9">
        <w:rPr>
          <w:rFonts w:ascii="Californian FB" w:hAnsi="Californian FB"/>
          <w:sz w:val="24"/>
          <w:szCs w:val="24"/>
        </w:rPr>
        <w:t xml:space="preserve">ection 411(b)(1) </w:t>
      </w:r>
      <w:r w:rsidR="002650D2">
        <w:rPr>
          <w:rFonts w:ascii="Californian FB" w:hAnsi="Californian FB"/>
          <w:sz w:val="24"/>
          <w:szCs w:val="24"/>
        </w:rPr>
        <w:t xml:space="preserve">answers that question in a way that </w:t>
      </w:r>
      <w:r w:rsidR="00915FB9" w:rsidRPr="00915FB9">
        <w:rPr>
          <w:rFonts w:ascii="Californian FB" w:hAnsi="Californian FB"/>
          <w:sz w:val="24"/>
          <w:szCs w:val="24"/>
        </w:rPr>
        <w:t>is quite forgiving to the applicant. It states that inaccuracies in the registration will render it invalid for purposes of §§ 411 and 412 only when “</w:t>
      </w:r>
      <w:r w:rsidR="00915FB9" w:rsidRPr="003071D7">
        <w:rPr>
          <w:rFonts w:ascii="Californian FB" w:hAnsi="Californian FB" w:cs="MinionC"/>
          <w:sz w:val="24"/>
          <w:szCs w:val="24"/>
        </w:rPr>
        <w:t>(A) the inaccurate information was included on the application for</w:t>
      </w:r>
      <w:r w:rsidR="00915FB9" w:rsidRPr="00915FB9">
        <w:rPr>
          <w:rFonts w:ascii="Californian FB" w:hAnsi="Californian FB" w:cs="MinionC"/>
          <w:sz w:val="24"/>
          <w:szCs w:val="24"/>
        </w:rPr>
        <w:t xml:space="preserve"> </w:t>
      </w:r>
      <w:r w:rsidR="00915FB9" w:rsidRPr="003071D7">
        <w:rPr>
          <w:rFonts w:ascii="Californian FB" w:hAnsi="Californian FB" w:cs="MinionC"/>
          <w:sz w:val="24"/>
          <w:szCs w:val="24"/>
        </w:rPr>
        <w:t>copyright registration with knowledge that it was inaccurate; and</w:t>
      </w:r>
      <w:r w:rsidR="00915FB9" w:rsidRPr="00915FB9">
        <w:rPr>
          <w:rFonts w:ascii="Californian FB" w:hAnsi="Californian FB" w:cs="MinionC"/>
          <w:sz w:val="24"/>
          <w:szCs w:val="24"/>
        </w:rPr>
        <w:t xml:space="preserve"> </w:t>
      </w:r>
      <w:r w:rsidR="00915FB9" w:rsidRPr="003071D7">
        <w:rPr>
          <w:rFonts w:ascii="Californian FB" w:hAnsi="Californian FB" w:cs="MinionC"/>
          <w:sz w:val="24"/>
          <w:szCs w:val="24"/>
        </w:rPr>
        <w:t>(B) the inaccuracy of the information, if known, would have caused the</w:t>
      </w:r>
      <w:r w:rsidR="00915FB9">
        <w:rPr>
          <w:rFonts w:ascii="Californian FB" w:hAnsi="Californian FB" w:cs="MinionC"/>
          <w:sz w:val="24"/>
          <w:szCs w:val="24"/>
        </w:rPr>
        <w:t xml:space="preserve"> </w:t>
      </w:r>
      <w:r w:rsidR="00915FB9" w:rsidRPr="003071D7">
        <w:rPr>
          <w:rFonts w:ascii="Californian FB" w:hAnsi="Californian FB" w:cs="MinionC"/>
          <w:sz w:val="24"/>
          <w:szCs w:val="24"/>
        </w:rPr>
        <w:t>Register of Copyrights to refuse registration.</w:t>
      </w:r>
      <w:r w:rsidR="002650D2">
        <w:rPr>
          <w:rFonts w:ascii="Californian FB" w:hAnsi="Californian FB" w:cs="MinionC"/>
          <w:sz w:val="24"/>
          <w:szCs w:val="24"/>
        </w:rPr>
        <w:t xml:space="preserve">”  </w:t>
      </w:r>
    </w:p>
    <w:p w14:paraId="4FB6AE0D" w14:textId="77777777" w:rsidR="007D395D" w:rsidRDefault="002650D2" w:rsidP="003071D7">
      <w:pPr>
        <w:ind w:left="360" w:firstLine="360"/>
        <w:jc w:val="both"/>
        <w:rPr>
          <w:rFonts w:ascii="Californian FB" w:hAnsi="Californian FB" w:cs="MinionC"/>
          <w:sz w:val="24"/>
          <w:szCs w:val="24"/>
        </w:rPr>
      </w:pPr>
      <w:r>
        <w:rPr>
          <w:rFonts w:ascii="Californian FB" w:hAnsi="Californian FB" w:cs="MinionC"/>
          <w:sz w:val="24"/>
          <w:szCs w:val="24"/>
        </w:rPr>
        <w:t xml:space="preserve">A recent Supreme Court case addressed the issue of whether </w:t>
      </w:r>
      <w:r w:rsidR="00784E37">
        <w:rPr>
          <w:rFonts w:ascii="Californian FB" w:hAnsi="Californian FB" w:cs="MinionC"/>
          <w:sz w:val="24"/>
          <w:szCs w:val="24"/>
        </w:rPr>
        <w:t xml:space="preserve">§ 411(b)(1)(A) excuses mistakes of law </w:t>
      </w:r>
      <w:r w:rsidR="007E5BF5">
        <w:rPr>
          <w:rFonts w:ascii="Californian FB" w:hAnsi="Californian FB" w:cs="MinionC"/>
          <w:sz w:val="24"/>
          <w:szCs w:val="24"/>
        </w:rPr>
        <w:t xml:space="preserve">and </w:t>
      </w:r>
      <w:r w:rsidR="00784E37">
        <w:rPr>
          <w:rFonts w:ascii="Californian FB" w:hAnsi="Californian FB" w:cs="MinionC"/>
          <w:sz w:val="24"/>
          <w:szCs w:val="24"/>
        </w:rPr>
        <w:t>mistakes of fact</w:t>
      </w:r>
      <w:r w:rsidR="007E5BF5">
        <w:rPr>
          <w:rFonts w:ascii="Californian FB" w:hAnsi="Californian FB" w:cs="MinionC"/>
          <w:sz w:val="24"/>
          <w:szCs w:val="24"/>
        </w:rPr>
        <w:t xml:space="preserve"> on the same terms</w:t>
      </w:r>
      <w:r w:rsidR="00784E37">
        <w:rPr>
          <w:rFonts w:ascii="Californian FB" w:hAnsi="Californian FB" w:cs="MinionC"/>
          <w:sz w:val="24"/>
          <w:szCs w:val="24"/>
        </w:rPr>
        <w:t xml:space="preserve">.  In that case, </w:t>
      </w:r>
      <w:proofErr w:type="spellStart"/>
      <w:r w:rsidR="00705DEB" w:rsidRPr="003071D7">
        <w:rPr>
          <w:rFonts w:ascii="Californian FB" w:hAnsi="Californian FB" w:cs="MinionC"/>
          <w:i/>
          <w:iCs/>
          <w:sz w:val="24"/>
          <w:szCs w:val="24"/>
        </w:rPr>
        <w:t>Unicolors</w:t>
      </w:r>
      <w:proofErr w:type="spellEnd"/>
      <w:r w:rsidR="00705DEB" w:rsidRPr="003071D7">
        <w:rPr>
          <w:rFonts w:ascii="Californian FB" w:hAnsi="Californian FB" w:cs="MinionC"/>
          <w:i/>
          <w:iCs/>
          <w:sz w:val="24"/>
          <w:szCs w:val="24"/>
        </w:rPr>
        <w:t>, Inc. v. H&amp;M Hennes &amp; Mauritz, L.P.</w:t>
      </w:r>
      <w:r w:rsidR="00705DEB" w:rsidRPr="00705DEB">
        <w:rPr>
          <w:rFonts w:ascii="Californian FB" w:hAnsi="Californian FB" w:cs="MinionC"/>
          <w:sz w:val="24"/>
          <w:szCs w:val="24"/>
        </w:rPr>
        <w:t xml:space="preserve">, 142 </w:t>
      </w:r>
      <w:proofErr w:type="spellStart"/>
      <w:r w:rsidR="00705DEB" w:rsidRPr="00705DEB">
        <w:rPr>
          <w:rFonts w:ascii="Californian FB" w:hAnsi="Californian FB" w:cs="MinionC"/>
          <w:sz w:val="24"/>
          <w:szCs w:val="24"/>
        </w:rPr>
        <w:t>S.Ct</w:t>
      </w:r>
      <w:proofErr w:type="spellEnd"/>
      <w:r w:rsidR="00705DEB" w:rsidRPr="00705DEB">
        <w:rPr>
          <w:rFonts w:ascii="Californian FB" w:hAnsi="Californian FB" w:cs="MinionC"/>
          <w:sz w:val="24"/>
          <w:szCs w:val="24"/>
        </w:rPr>
        <w:t>. 941 (2022)</w:t>
      </w:r>
      <w:r w:rsidR="00705DEB">
        <w:rPr>
          <w:rFonts w:ascii="Californian FB" w:hAnsi="Californian FB" w:cs="MinionC"/>
          <w:sz w:val="24"/>
          <w:szCs w:val="24"/>
        </w:rPr>
        <w:t xml:space="preserve">, </w:t>
      </w:r>
      <w:proofErr w:type="spellStart"/>
      <w:r w:rsidR="00784E37">
        <w:rPr>
          <w:rFonts w:ascii="Californian FB" w:hAnsi="Californian FB" w:cs="MinionC"/>
          <w:sz w:val="24"/>
          <w:szCs w:val="24"/>
        </w:rPr>
        <w:t>Unicolors</w:t>
      </w:r>
      <w:proofErr w:type="spellEnd"/>
      <w:r w:rsidR="00784E37">
        <w:rPr>
          <w:rFonts w:ascii="Californian FB" w:hAnsi="Californian FB" w:cs="MinionC"/>
          <w:sz w:val="24"/>
          <w:szCs w:val="24"/>
        </w:rPr>
        <w:t xml:space="preserve"> </w:t>
      </w:r>
      <w:r w:rsidR="00705DEB">
        <w:rPr>
          <w:rFonts w:ascii="Californian FB" w:hAnsi="Californian FB" w:cs="MinionC"/>
          <w:sz w:val="24"/>
          <w:szCs w:val="24"/>
        </w:rPr>
        <w:t xml:space="preserve">had </w:t>
      </w:r>
      <w:r w:rsidR="00A10A22">
        <w:rPr>
          <w:rFonts w:ascii="Californian FB" w:hAnsi="Californian FB" w:cs="MinionC"/>
          <w:sz w:val="24"/>
          <w:szCs w:val="24"/>
        </w:rPr>
        <w:t xml:space="preserve">submitted a single application </w:t>
      </w:r>
      <w:r w:rsidR="00763169">
        <w:rPr>
          <w:rFonts w:ascii="Californian FB" w:hAnsi="Californian FB" w:cs="MinionC"/>
          <w:sz w:val="24"/>
          <w:szCs w:val="24"/>
        </w:rPr>
        <w:t xml:space="preserve">to </w:t>
      </w:r>
      <w:r w:rsidR="00784E37">
        <w:rPr>
          <w:rFonts w:ascii="Californian FB" w:hAnsi="Californian FB" w:cs="MinionC"/>
          <w:sz w:val="24"/>
          <w:szCs w:val="24"/>
        </w:rPr>
        <w:t xml:space="preserve">register copyright in </w:t>
      </w:r>
      <w:r w:rsidR="00552BCC">
        <w:rPr>
          <w:rFonts w:ascii="Californian FB" w:hAnsi="Californian FB" w:cs="MinionC"/>
          <w:sz w:val="24"/>
          <w:szCs w:val="24"/>
        </w:rPr>
        <w:t xml:space="preserve">31 separate fabric designs.  </w:t>
      </w:r>
      <w:r w:rsidR="00763169">
        <w:rPr>
          <w:rFonts w:ascii="Californian FB" w:hAnsi="Californian FB" w:cs="MinionC"/>
          <w:sz w:val="24"/>
          <w:szCs w:val="24"/>
        </w:rPr>
        <w:t>The registration was granted</w:t>
      </w:r>
      <w:r w:rsidR="00705DEB">
        <w:rPr>
          <w:rFonts w:ascii="Californian FB" w:hAnsi="Californian FB" w:cs="MinionC"/>
          <w:sz w:val="24"/>
          <w:szCs w:val="24"/>
        </w:rPr>
        <w:t xml:space="preserve">. </w:t>
      </w:r>
      <w:proofErr w:type="spellStart"/>
      <w:r w:rsidR="00763169">
        <w:rPr>
          <w:rFonts w:ascii="Californian FB" w:hAnsi="Californian FB" w:cs="MinionC"/>
          <w:sz w:val="24"/>
          <w:szCs w:val="24"/>
        </w:rPr>
        <w:t>Unicolors</w:t>
      </w:r>
      <w:proofErr w:type="spellEnd"/>
      <w:r w:rsidR="00763169">
        <w:rPr>
          <w:rFonts w:ascii="Californian FB" w:hAnsi="Californian FB" w:cs="MinionC"/>
          <w:sz w:val="24"/>
          <w:szCs w:val="24"/>
        </w:rPr>
        <w:t xml:space="preserve"> later sued clothing retailer H&amp;M for infringing one of the designs</w:t>
      </w:r>
      <w:r w:rsidR="00A10A22">
        <w:rPr>
          <w:rFonts w:ascii="Californian FB" w:hAnsi="Californian FB" w:cs="MinionC"/>
          <w:sz w:val="24"/>
          <w:szCs w:val="24"/>
        </w:rPr>
        <w:t xml:space="preserve">, </w:t>
      </w:r>
      <w:r w:rsidR="007D395D">
        <w:rPr>
          <w:rFonts w:ascii="Californian FB" w:hAnsi="Californian FB" w:cs="MinionC"/>
          <w:sz w:val="24"/>
          <w:szCs w:val="24"/>
        </w:rPr>
        <w:t xml:space="preserve">and </w:t>
      </w:r>
      <w:r w:rsidR="00A10A22">
        <w:rPr>
          <w:rFonts w:ascii="Californian FB" w:hAnsi="Californian FB" w:cs="MinionC"/>
          <w:sz w:val="24"/>
          <w:szCs w:val="24"/>
        </w:rPr>
        <w:t>represent</w:t>
      </w:r>
      <w:r w:rsidR="007D395D">
        <w:rPr>
          <w:rFonts w:ascii="Californian FB" w:hAnsi="Californian FB" w:cs="MinionC"/>
          <w:sz w:val="24"/>
          <w:szCs w:val="24"/>
        </w:rPr>
        <w:t>ed</w:t>
      </w:r>
      <w:r w:rsidR="00A10A22">
        <w:rPr>
          <w:rFonts w:ascii="Californian FB" w:hAnsi="Californian FB" w:cs="MinionC"/>
          <w:sz w:val="24"/>
          <w:szCs w:val="24"/>
        </w:rPr>
        <w:t xml:space="preserve"> that </w:t>
      </w:r>
      <w:r w:rsidR="007E5BF5">
        <w:rPr>
          <w:rFonts w:ascii="Californian FB" w:hAnsi="Californian FB" w:cs="MinionC"/>
          <w:sz w:val="24"/>
          <w:szCs w:val="24"/>
        </w:rPr>
        <w:t xml:space="preserve">the single registration it had obtained for 31 designs satisfied </w:t>
      </w:r>
      <w:r w:rsidR="00A10A22">
        <w:rPr>
          <w:rFonts w:ascii="Californian FB" w:hAnsi="Californian FB" w:cs="MinionC"/>
          <w:sz w:val="24"/>
          <w:szCs w:val="24"/>
        </w:rPr>
        <w:t xml:space="preserve">its </w:t>
      </w:r>
      <w:r w:rsidR="00A10A22" w:rsidRPr="00A10A22">
        <w:rPr>
          <w:rFonts w:ascii="Californian FB" w:hAnsi="Californian FB" w:cs="MinionC"/>
          <w:sz w:val="24"/>
          <w:szCs w:val="24"/>
        </w:rPr>
        <w:t>§ 411</w:t>
      </w:r>
      <w:r w:rsidR="00A10A22">
        <w:rPr>
          <w:rFonts w:ascii="Californian FB" w:hAnsi="Californian FB" w:cs="MinionC"/>
          <w:sz w:val="24"/>
          <w:szCs w:val="24"/>
        </w:rPr>
        <w:t xml:space="preserve"> obligation to register </w:t>
      </w:r>
      <w:r w:rsidR="00705DEB">
        <w:rPr>
          <w:rFonts w:ascii="Californian FB" w:hAnsi="Californian FB" w:cs="MinionC"/>
          <w:sz w:val="24"/>
          <w:szCs w:val="24"/>
        </w:rPr>
        <w:t xml:space="preserve">copyright in </w:t>
      </w:r>
      <w:r w:rsidR="007E5BF5">
        <w:rPr>
          <w:rFonts w:ascii="Californian FB" w:hAnsi="Californian FB" w:cs="MinionC"/>
          <w:sz w:val="24"/>
          <w:szCs w:val="24"/>
        </w:rPr>
        <w:t xml:space="preserve">the particular design at issue </w:t>
      </w:r>
      <w:r w:rsidR="00A10A22">
        <w:rPr>
          <w:rFonts w:ascii="Californian FB" w:hAnsi="Californian FB" w:cs="MinionC"/>
          <w:sz w:val="24"/>
          <w:szCs w:val="24"/>
        </w:rPr>
        <w:t>before suing</w:t>
      </w:r>
      <w:r w:rsidR="00763169">
        <w:rPr>
          <w:rFonts w:ascii="Californian FB" w:hAnsi="Californian FB" w:cs="MinionC"/>
          <w:sz w:val="24"/>
          <w:szCs w:val="24"/>
        </w:rPr>
        <w:t xml:space="preserve">.  H&amp;M argued that the registration had been improperly granted.  </w:t>
      </w:r>
      <w:r w:rsidR="00552BCC">
        <w:rPr>
          <w:rFonts w:ascii="Californian FB" w:hAnsi="Californian FB" w:cs="MinionC"/>
          <w:sz w:val="24"/>
          <w:szCs w:val="24"/>
        </w:rPr>
        <w:t xml:space="preserve">Copyright Office regulations provide that a group of </w:t>
      </w:r>
      <w:r w:rsidR="007E5BF5">
        <w:rPr>
          <w:rFonts w:ascii="Californian FB" w:hAnsi="Californian FB" w:cs="MinionC"/>
          <w:sz w:val="24"/>
          <w:szCs w:val="24"/>
        </w:rPr>
        <w:t xml:space="preserve">separate </w:t>
      </w:r>
      <w:r w:rsidR="00552BCC">
        <w:rPr>
          <w:rFonts w:ascii="Californian FB" w:hAnsi="Californian FB" w:cs="MinionC"/>
          <w:sz w:val="24"/>
          <w:szCs w:val="24"/>
        </w:rPr>
        <w:t>works can only be registered in a single application if they constitute a “unit of publication,” that is, if they were published together and at the same time</w:t>
      </w:r>
      <w:r w:rsidR="00552BCC" w:rsidRPr="00552BCC">
        <w:rPr>
          <w:rFonts w:ascii="Californian FB" w:hAnsi="Californian FB" w:cs="MinionC"/>
          <w:sz w:val="24"/>
          <w:szCs w:val="24"/>
        </w:rPr>
        <w:t xml:space="preserve">.  </w:t>
      </w:r>
      <w:hyperlink r:id="rId182" w:history="1">
        <w:r w:rsidR="00552BCC" w:rsidRPr="003071D7">
          <w:rPr>
            <w:rFonts w:ascii="Californian FB" w:hAnsi="Californian FB" w:cs="Times New Roman"/>
            <w:color w:val="000000"/>
            <w:sz w:val="24"/>
            <w:szCs w:val="24"/>
          </w:rPr>
          <w:t>37 C.F.R. § 202.3(b)(4) (2020)</w:t>
        </w:r>
      </w:hyperlink>
      <w:r w:rsidR="00552BCC">
        <w:rPr>
          <w:rFonts w:ascii="Californian FB" w:hAnsi="Californian FB" w:cs="Times New Roman"/>
          <w:color w:val="000000"/>
          <w:sz w:val="24"/>
          <w:szCs w:val="24"/>
        </w:rPr>
        <w:t xml:space="preserve">.  </w:t>
      </w:r>
      <w:r w:rsidR="0002738B">
        <w:rPr>
          <w:rFonts w:ascii="Californian FB" w:hAnsi="Californian FB" w:cs="Times New Roman"/>
          <w:color w:val="000000"/>
          <w:sz w:val="24"/>
          <w:szCs w:val="24"/>
        </w:rPr>
        <w:t>(</w:t>
      </w:r>
      <w:r w:rsidR="007E5BF5">
        <w:rPr>
          <w:rFonts w:ascii="Californian FB" w:hAnsi="Californian FB" w:cs="Times New Roman"/>
          <w:color w:val="000000"/>
          <w:sz w:val="24"/>
          <w:szCs w:val="24"/>
        </w:rPr>
        <w:t>As you might imagine, t</w:t>
      </w:r>
      <w:r w:rsidR="0002738B">
        <w:rPr>
          <w:rFonts w:ascii="Californian FB" w:hAnsi="Californian FB" w:cs="Times New Roman"/>
          <w:color w:val="000000"/>
          <w:sz w:val="24"/>
          <w:szCs w:val="24"/>
        </w:rPr>
        <w:t xml:space="preserve">his provision prevents applicants from registering many different works, each of which the Copyright Office has to examine, process, and catalog, while paying only one registration fee.) </w:t>
      </w:r>
      <w:proofErr w:type="spellStart"/>
      <w:r w:rsidR="00552BCC" w:rsidRPr="00552BCC">
        <w:rPr>
          <w:rFonts w:ascii="Californian FB" w:hAnsi="Californian FB" w:cs="MinionC"/>
          <w:sz w:val="24"/>
          <w:szCs w:val="24"/>
        </w:rPr>
        <w:t>Unicolors</w:t>
      </w:r>
      <w:proofErr w:type="spellEnd"/>
      <w:r w:rsidR="00552BCC" w:rsidRPr="00552BCC">
        <w:rPr>
          <w:rFonts w:ascii="Californian FB" w:hAnsi="Californian FB" w:cs="MinionC"/>
          <w:sz w:val="24"/>
          <w:szCs w:val="24"/>
        </w:rPr>
        <w:t xml:space="preserve"> knew that</w:t>
      </w:r>
      <w:r w:rsidR="0002738B">
        <w:rPr>
          <w:rFonts w:ascii="Californian FB" w:hAnsi="Californian FB" w:cs="MinionC"/>
          <w:sz w:val="24"/>
          <w:szCs w:val="24"/>
        </w:rPr>
        <w:t xml:space="preserve"> it had not published the 31 designs together and at the same time</w:t>
      </w:r>
      <w:r w:rsidR="00763169">
        <w:rPr>
          <w:rFonts w:ascii="Californian FB" w:hAnsi="Californian FB" w:cs="MinionC"/>
          <w:sz w:val="24"/>
          <w:szCs w:val="24"/>
        </w:rPr>
        <w:t xml:space="preserve">, and it </w:t>
      </w:r>
      <w:r w:rsidR="007E5BF5">
        <w:rPr>
          <w:rFonts w:ascii="Californian FB" w:hAnsi="Californian FB" w:cs="MinionC"/>
          <w:sz w:val="24"/>
          <w:szCs w:val="24"/>
        </w:rPr>
        <w:t xml:space="preserve">therefore </w:t>
      </w:r>
      <w:r w:rsidR="00763169">
        <w:rPr>
          <w:rFonts w:ascii="Californian FB" w:hAnsi="Californian FB" w:cs="MinionC"/>
          <w:sz w:val="24"/>
          <w:szCs w:val="24"/>
        </w:rPr>
        <w:t xml:space="preserve">could not claim excusable lack of knowledge under </w:t>
      </w:r>
      <w:r w:rsidR="00763169" w:rsidRPr="00763169">
        <w:rPr>
          <w:rFonts w:ascii="Californian FB" w:hAnsi="Californian FB" w:cs="MinionC"/>
          <w:sz w:val="24"/>
          <w:szCs w:val="24"/>
        </w:rPr>
        <w:t>§ 411(b)(1)(A)</w:t>
      </w:r>
      <w:r w:rsidR="00763169">
        <w:rPr>
          <w:rFonts w:ascii="Californian FB" w:hAnsi="Californian FB" w:cs="MinionC"/>
          <w:sz w:val="24"/>
          <w:szCs w:val="24"/>
        </w:rPr>
        <w:t xml:space="preserve"> as to that fact</w:t>
      </w:r>
      <w:r w:rsidR="0002738B">
        <w:rPr>
          <w:rFonts w:ascii="Californian FB" w:hAnsi="Californian FB" w:cs="MinionC"/>
          <w:sz w:val="24"/>
          <w:szCs w:val="24"/>
        </w:rPr>
        <w:t xml:space="preserve">. However, </w:t>
      </w:r>
      <w:proofErr w:type="spellStart"/>
      <w:r w:rsidR="00763169">
        <w:rPr>
          <w:rFonts w:ascii="Californian FB" w:hAnsi="Californian FB" w:cs="MinionC"/>
          <w:sz w:val="24"/>
          <w:szCs w:val="24"/>
        </w:rPr>
        <w:t>Unicolors</w:t>
      </w:r>
      <w:proofErr w:type="spellEnd"/>
      <w:r w:rsidR="0002738B">
        <w:rPr>
          <w:rFonts w:ascii="Californian FB" w:hAnsi="Californian FB" w:cs="MinionC"/>
          <w:sz w:val="24"/>
          <w:szCs w:val="24"/>
        </w:rPr>
        <w:t xml:space="preserve"> argued </w:t>
      </w:r>
      <w:r w:rsidR="00705DEB">
        <w:rPr>
          <w:rFonts w:ascii="Californian FB" w:hAnsi="Californian FB" w:cs="MinionC"/>
          <w:sz w:val="24"/>
          <w:szCs w:val="24"/>
        </w:rPr>
        <w:t xml:space="preserve">(in the Supreme Court, at least) </w:t>
      </w:r>
      <w:r w:rsidR="0002738B">
        <w:rPr>
          <w:rFonts w:ascii="Californian FB" w:hAnsi="Californian FB" w:cs="MinionC"/>
          <w:sz w:val="24"/>
          <w:szCs w:val="24"/>
        </w:rPr>
        <w:t>that it did not know of the regulation that</w:t>
      </w:r>
      <w:r w:rsidR="00851919">
        <w:rPr>
          <w:rFonts w:ascii="Californian FB" w:hAnsi="Californian FB" w:cs="MinionC"/>
          <w:sz w:val="24"/>
          <w:szCs w:val="24"/>
        </w:rPr>
        <w:t xml:space="preserve"> required such </w:t>
      </w:r>
      <w:r w:rsidR="007E5BF5">
        <w:rPr>
          <w:rFonts w:ascii="Californian FB" w:hAnsi="Californian FB" w:cs="MinionC"/>
          <w:sz w:val="24"/>
          <w:szCs w:val="24"/>
        </w:rPr>
        <w:t xml:space="preserve">common </w:t>
      </w:r>
      <w:r w:rsidR="00851919">
        <w:rPr>
          <w:rFonts w:ascii="Californian FB" w:hAnsi="Californian FB" w:cs="MinionC"/>
          <w:sz w:val="24"/>
          <w:szCs w:val="24"/>
        </w:rPr>
        <w:t xml:space="preserve">publication in order to include all of the designs in one application, </w:t>
      </w:r>
      <w:r w:rsidR="00A10A22">
        <w:rPr>
          <w:rFonts w:ascii="Californian FB" w:hAnsi="Californian FB" w:cs="MinionC"/>
          <w:sz w:val="24"/>
          <w:szCs w:val="24"/>
        </w:rPr>
        <w:t xml:space="preserve">and that </w:t>
      </w:r>
      <w:r w:rsidR="007E5BF5">
        <w:rPr>
          <w:rFonts w:ascii="Californian FB" w:hAnsi="Californian FB" w:cs="MinionC"/>
          <w:sz w:val="24"/>
          <w:szCs w:val="24"/>
        </w:rPr>
        <w:t xml:space="preserve">its </w:t>
      </w:r>
      <w:r w:rsidR="00A10A22">
        <w:rPr>
          <w:rFonts w:ascii="Californian FB" w:hAnsi="Californian FB" w:cs="MinionC"/>
          <w:sz w:val="24"/>
          <w:szCs w:val="24"/>
        </w:rPr>
        <w:t xml:space="preserve">lack of legal knowledge should also excuse </w:t>
      </w:r>
      <w:r w:rsidR="007E5BF5">
        <w:rPr>
          <w:rFonts w:ascii="Californian FB" w:hAnsi="Californian FB" w:cs="MinionC"/>
          <w:sz w:val="24"/>
          <w:szCs w:val="24"/>
        </w:rPr>
        <w:t>its mistake in representing that a single application was proper.</w:t>
      </w:r>
      <w:r w:rsidR="00705DEB">
        <w:rPr>
          <w:rFonts w:ascii="Californian FB" w:hAnsi="Californian FB" w:cs="MinionC"/>
          <w:sz w:val="24"/>
          <w:szCs w:val="24"/>
        </w:rPr>
        <w:t xml:space="preserve"> </w:t>
      </w:r>
    </w:p>
    <w:p w14:paraId="7261EA5C" w14:textId="2F10009E" w:rsidR="00915FB9" w:rsidRPr="00552BCC" w:rsidRDefault="00705DEB" w:rsidP="003071D7">
      <w:pPr>
        <w:ind w:left="360" w:firstLine="360"/>
        <w:jc w:val="both"/>
        <w:rPr>
          <w:rFonts w:ascii="Californian FB" w:hAnsi="Californian FB" w:cs="MinionC"/>
          <w:sz w:val="24"/>
          <w:szCs w:val="24"/>
        </w:rPr>
      </w:pPr>
      <w:r>
        <w:rPr>
          <w:rFonts w:ascii="Californian FB" w:hAnsi="Californian FB" w:cs="MinionC"/>
          <w:sz w:val="24"/>
          <w:szCs w:val="24"/>
        </w:rPr>
        <w:t>The Supreme Court agreed.  It held tha</w:t>
      </w:r>
      <w:r w:rsidR="007D395D">
        <w:rPr>
          <w:rFonts w:ascii="Californian FB" w:hAnsi="Californian FB" w:cs="MinionC"/>
          <w:sz w:val="24"/>
          <w:szCs w:val="24"/>
        </w:rPr>
        <w:t xml:space="preserve">t the plain language of </w:t>
      </w:r>
      <w:r w:rsidR="007D395D" w:rsidRPr="007D395D">
        <w:rPr>
          <w:rFonts w:ascii="Californian FB" w:hAnsi="Californian FB" w:cs="MinionC"/>
          <w:sz w:val="24"/>
          <w:szCs w:val="24"/>
        </w:rPr>
        <w:t>§ 411(b)(1)(A)</w:t>
      </w:r>
      <w:r w:rsidR="007D395D">
        <w:rPr>
          <w:rFonts w:ascii="Californian FB" w:hAnsi="Californian FB" w:cs="MinionC"/>
          <w:sz w:val="24"/>
          <w:szCs w:val="24"/>
        </w:rPr>
        <w:t xml:space="preserve"> does not distinguish between lack of factual knowledge and lack of legal knowledge. It also noted that the legislative history of that section indicated that it was intended </w:t>
      </w:r>
      <w:r w:rsidR="008D434A">
        <w:rPr>
          <w:rFonts w:ascii="Californian FB" w:hAnsi="Californian FB" w:cs="MinionC"/>
          <w:sz w:val="24"/>
          <w:szCs w:val="24"/>
        </w:rPr>
        <w:t xml:space="preserve">to make it easier for nonlawyers to obtain valid copyright registrations, and it evinced sympathy for applicants who could not follow complicated statutory and regulatory provisions. Do you agree?  Would </w:t>
      </w:r>
      <w:r w:rsidR="008D434A">
        <w:rPr>
          <w:rFonts w:ascii="Californian FB" w:hAnsi="Californian FB" w:cs="MinionC"/>
          <w:sz w:val="24"/>
          <w:szCs w:val="24"/>
        </w:rPr>
        <w:lastRenderedPageBreak/>
        <w:t>you support a provision that</w:t>
      </w:r>
      <w:r w:rsidR="00745E39">
        <w:rPr>
          <w:rFonts w:ascii="Californian FB" w:hAnsi="Californian FB" w:cs="MinionC"/>
          <w:sz w:val="24"/>
          <w:szCs w:val="24"/>
        </w:rPr>
        <w:t xml:space="preserve"> required registrants to cure inaccuracies that could be cured, and gave them some period of time to do so (while allowing them to proceed with a lawsuit in the meantime)?  Without any obligation to cure, is</w:t>
      </w:r>
      <w:r w:rsidR="00745E39" w:rsidRPr="00745E39">
        <w:rPr>
          <w:rFonts w:ascii="Californian FB" w:hAnsi="Californian FB" w:cs="MinionC"/>
          <w:sz w:val="24"/>
          <w:szCs w:val="24"/>
        </w:rPr>
        <w:t>§ 411(b)(1)(A)</w:t>
      </w:r>
      <w:r w:rsidR="00745E39">
        <w:rPr>
          <w:rFonts w:ascii="Californian FB" w:hAnsi="Californian FB" w:cs="MinionC"/>
          <w:sz w:val="24"/>
          <w:szCs w:val="24"/>
        </w:rPr>
        <w:t xml:space="preserve"> fair to other registrants who were diligent in informing themselves of registration requirements, and complying with those requirements at greater cost to them?</w:t>
      </w:r>
    </w:p>
    <w:p w14:paraId="35D6E88A" w14:textId="0E09E799" w:rsidR="000E35AC" w:rsidRDefault="000E35AC" w:rsidP="00200282">
      <w:pPr>
        <w:jc w:val="both"/>
        <w:rPr>
          <w:rFonts w:ascii="Californian FB" w:hAnsi="Californian FB" w:cs="BerkeleyStd-Bold"/>
          <w:b/>
          <w:bCs/>
          <w:sz w:val="28"/>
          <w:szCs w:val="28"/>
        </w:rPr>
      </w:pPr>
      <w:r w:rsidRPr="000E35AC">
        <w:rPr>
          <w:rFonts w:ascii="Californian FB" w:hAnsi="Californian FB" w:cs="BerkeleyStd-Bold"/>
          <w:b/>
          <w:bCs/>
          <w:sz w:val="28"/>
          <w:szCs w:val="28"/>
        </w:rPr>
        <w:t>F. Restoration of Copyright in Foreign Works</w:t>
      </w:r>
    </w:p>
    <w:p w14:paraId="6D944000" w14:textId="77777777" w:rsidR="000E35AC" w:rsidRPr="000E35AC" w:rsidRDefault="000E35AC" w:rsidP="000E35AC">
      <w:pPr>
        <w:shd w:val="clear" w:color="auto" w:fill="FFFFFF"/>
        <w:rPr>
          <w:rFonts w:ascii="Californian FB" w:eastAsia="Times New Roman" w:hAnsi="Californian FB" w:cstheme="minorHAnsi"/>
          <w:color w:val="222222"/>
          <w:sz w:val="28"/>
          <w:szCs w:val="28"/>
        </w:rPr>
      </w:pPr>
      <w:r w:rsidRPr="000E35AC">
        <w:rPr>
          <w:rFonts w:ascii="Californian FB" w:hAnsi="Californian FB"/>
          <w:sz w:val="28"/>
          <w:szCs w:val="28"/>
        </w:rPr>
        <w:t xml:space="preserve">Page 559 – </w:t>
      </w:r>
      <w:r w:rsidRPr="000E35AC">
        <w:rPr>
          <w:rFonts w:ascii="Californian FB" w:eastAsia="Times New Roman" w:hAnsi="Californian FB" w:cstheme="minorHAnsi"/>
          <w:color w:val="222222"/>
          <w:sz w:val="28"/>
          <w:szCs w:val="28"/>
        </w:rPr>
        <w:t>in the Troll Co. opinion, just before the “Discussion” section, insert the following text:</w:t>
      </w:r>
    </w:p>
    <w:p w14:paraId="36AC3992" w14:textId="135A6322" w:rsidR="000E35AC" w:rsidRDefault="000E35AC" w:rsidP="000E35AC">
      <w:pPr>
        <w:jc w:val="both"/>
        <w:rPr>
          <w:rFonts w:ascii="Californian FB" w:hAnsi="Californian FB" w:cstheme="minorHAnsi"/>
          <w:color w:val="3D3D3D"/>
          <w:sz w:val="24"/>
          <w:szCs w:val="24"/>
          <w:shd w:val="clear" w:color="auto" w:fill="FFFFFF"/>
        </w:rPr>
      </w:pPr>
      <w:r w:rsidRPr="000E35AC">
        <w:rPr>
          <w:rFonts w:ascii="Californian FB" w:hAnsi="Californian FB" w:cstheme="minorHAnsi"/>
          <w:color w:val="3D3D3D"/>
          <w:sz w:val="24"/>
          <w:szCs w:val="24"/>
          <w:shd w:val="clear" w:color="auto" w:fill="FFFFFF"/>
        </w:rPr>
        <w:t xml:space="preserve">[Troll Co. served </w:t>
      </w:r>
      <w:proofErr w:type="spellStart"/>
      <w:r w:rsidRPr="000E35AC">
        <w:rPr>
          <w:rFonts w:ascii="Californian FB" w:hAnsi="Californian FB" w:cstheme="minorHAnsi"/>
          <w:color w:val="3D3D3D"/>
          <w:sz w:val="24"/>
          <w:szCs w:val="24"/>
          <w:shd w:val="clear" w:color="auto" w:fill="FFFFFF"/>
        </w:rPr>
        <w:t>Uneeda</w:t>
      </w:r>
      <w:proofErr w:type="spellEnd"/>
      <w:r w:rsidRPr="000E35AC">
        <w:rPr>
          <w:rFonts w:ascii="Californian FB" w:hAnsi="Californian FB" w:cstheme="minorHAnsi"/>
          <w:color w:val="3D3D3D"/>
          <w:sz w:val="24"/>
          <w:szCs w:val="24"/>
          <w:shd w:val="clear" w:color="auto" w:fill="FFFFFF"/>
        </w:rPr>
        <w:t xml:space="preserve"> with written notice of its intent to enforce the copyright (a procedure sometimes required under </w:t>
      </w:r>
      <w:r w:rsidRPr="000E35AC">
        <w:rPr>
          <w:rFonts w:ascii="Californian FB" w:hAnsi="Californian FB" w:cstheme="minorHAnsi"/>
          <w:sz w:val="24"/>
          <w:szCs w:val="24"/>
          <w:bdr w:val="none" w:sz="0" w:space="0" w:color="auto" w:frame="1"/>
          <w:shd w:val="clear" w:color="auto" w:fill="FFFFFF"/>
        </w:rPr>
        <w:t>section 104A</w:t>
      </w:r>
      <w:r w:rsidRPr="000E35AC">
        <w:rPr>
          <w:rFonts w:ascii="Californian FB" w:hAnsi="Californian FB" w:cstheme="minorHAnsi"/>
          <w:color w:val="3D3D3D"/>
          <w:sz w:val="24"/>
          <w:szCs w:val="24"/>
          <w:shd w:val="clear" w:color="auto" w:fill="FFFFFF"/>
        </w:rPr>
        <w:t>, as discussed below) on October 18, 2005.]</w:t>
      </w:r>
    </w:p>
    <w:p w14:paraId="0D99CB39" w14:textId="77777777" w:rsidR="000E35AC" w:rsidRPr="000E35AC" w:rsidRDefault="000E35AC" w:rsidP="000E35AC">
      <w:pPr>
        <w:jc w:val="both"/>
        <w:rPr>
          <w:rFonts w:ascii="Californian FB" w:hAnsi="Californian FB"/>
          <w:sz w:val="24"/>
          <w:szCs w:val="24"/>
        </w:rPr>
      </w:pPr>
    </w:p>
    <w:p w14:paraId="02D7FA10" w14:textId="5386AA3B" w:rsidR="005B110B" w:rsidRDefault="005B110B" w:rsidP="00ED6BE0">
      <w:pPr>
        <w:autoSpaceDE w:val="0"/>
        <w:autoSpaceDN w:val="0"/>
        <w:adjustRightInd w:val="0"/>
        <w:spacing w:line="240" w:lineRule="auto"/>
        <w:rPr>
          <w:rFonts w:ascii="Californian FB" w:eastAsia="Times New Roman" w:hAnsi="Californian FB" w:cstheme="minorHAnsi"/>
          <w:b/>
          <w:i/>
          <w:sz w:val="28"/>
          <w:szCs w:val="28"/>
        </w:rPr>
      </w:pPr>
      <w:r w:rsidRPr="005B110B">
        <w:rPr>
          <w:rFonts w:ascii="Californian FB" w:eastAsia="Times New Roman" w:hAnsi="Californian FB" w:cstheme="minorHAnsi"/>
          <w:b/>
          <w:sz w:val="28"/>
          <w:szCs w:val="28"/>
        </w:rPr>
        <w:t xml:space="preserve">Chapter 8: </w:t>
      </w:r>
      <w:r w:rsidRPr="005B110B">
        <w:rPr>
          <w:rFonts w:ascii="Californian FB" w:eastAsia="Times New Roman" w:hAnsi="Californian FB" w:cstheme="minorHAnsi"/>
          <w:b/>
          <w:i/>
          <w:sz w:val="28"/>
          <w:szCs w:val="28"/>
        </w:rPr>
        <w:t>Initial Ownership of Copyright</w:t>
      </w:r>
    </w:p>
    <w:p w14:paraId="703D8B52" w14:textId="4FD2C13A" w:rsidR="00DB3CE7" w:rsidRDefault="00DB3CE7" w:rsidP="00ED6BE0">
      <w:pPr>
        <w:autoSpaceDE w:val="0"/>
        <w:autoSpaceDN w:val="0"/>
        <w:adjustRightInd w:val="0"/>
        <w:spacing w:line="240" w:lineRule="auto"/>
        <w:rPr>
          <w:rFonts w:ascii="Californian FB" w:eastAsia="Times New Roman" w:hAnsi="Californian FB" w:cstheme="minorHAnsi"/>
          <w:b/>
          <w:iCs/>
          <w:sz w:val="28"/>
          <w:szCs w:val="28"/>
        </w:rPr>
      </w:pPr>
      <w:r>
        <w:rPr>
          <w:rFonts w:ascii="Californian FB" w:eastAsia="Times New Roman" w:hAnsi="Californian FB" w:cstheme="minorHAnsi"/>
          <w:b/>
          <w:iCs/>
          <w:sz w:val="28"/>
          <w:szCs w:val="28"/>
        </w:rPr>
        <w:t>A. Sole and Joint Authorship</w:t>
      </w:r>
    </w:p>
    <w:p w14:paraId="76DAE475" w14:textId="3C6C3810" w:rsidR="00DB3CE7" w:rsidRDefault="00DB3CE7" w:rsidP="00ED6BE0">
      <w:pPr>
        <w:autoSpaceDE w:val="0"/>
        <w:autoSpaceDN w:val="0"/>
        <w:adjustRightInd w:val="0"/>
        <w:spacing w:line="240" w:lineRule="auto"/>
        <w:rPr>
          <w:rFonts w:ascii="Californian FB" w:eastAsia="Times New Roman" w:hAnsi="Californian FB" w:cstheme="minorHAnsi"/>
          <w:bCs/>
          <w:iCs/>
          <w:sz w:val="28"/>
          <w:szCs w:val="28"/>
        </w:rPr>
      </w:pPr>
      <w:r>
        <w:rPr>
          <w:rFonts w:ascii="Californian FB" w:eastAsia="Times New Roman" w:hAnsi="Californian FB" w:cstheme="minorHAnsi"/>
          <w:bCs/>
          <w:iCs/>
          <w:sz w:val="28"/>
          <w:szCs w:val="28"/>
        </w:rPr>
        <w:t>Page 581 – Insert the following at the end of Note 1:</w:t>
      </w:r>
    </w:p>
    <w:p w14:paraId="1EAFA0F2" w14:textId="1A34D896" w:rsidR="00DB3CE7" w:rsidRPr="00DB3CE7" w:rsidRDefault="00DB3CE7" w:rsidP="00ED6BE0">
      <w:pPr>
        <w:autoSpaceDE w:val="0"/>
        <w:autoSpaceDN w:val="0"/>
        <w:adjustRightInd w:val="0"/>
        <w:spacing w:line="240" w:lineRule="auto"/>
        <w:rPr>
          <w:rFonts w:ascii="Californian FB" w:eastAsia="Times New Roman" w:hAnsi="Californian FB" w:cstheme="minorHAnsi"/>
          <w:bCs/>
          <w:iCs/>
          <w:sz w:val="24"/>
          <w:szCs w:val="24"/>
        </w:rPr>
      </w:pPr>
      <w:r w:rsidRPr="00643152">
        <w:rPr>
          <w:rFonts w:ascii="Californian FB" w:eastAsia="Times New Roman" w:hAnsi="Californian FB" w:cstheme="minorHAnsi"/>
          <w:bCs/>
          <w:iCs/>
          <w:sz w:val="24"/>
          <w:szCs w:val="24"/>
        </w:rPr>
        <w:t>Note, however, that one co-owner cannot grant an exclusive license to use a work without the consent of the other co-owners</w:t>
      </w:r>
      <w:r w:rsidR="00643152" w:rsidRPr="00643152">
        <w:rPr>
          <w:rFonts w:ascii="Californian FB" w:eastAsia="Times New Roman" w:hAnsi="Californian FB" w:cstheme="minorHAnsi"/>
          <w:bCs/>
          <w:iCs/>
          <w:sz w:val="24"/>
          <w:szCs w:val="24"/>
        </w:rPr>
        <w:t xml:space="preserve">, </w:t>
      </w:r>
      <w:r w:rsidR="00643152" w:rsidRPr="00643152">
        <w:rPr>
          <w:rFonts w:ascii="Californian FB" w:hAnsi="Californian FB"/>
          <w:sz w:val="24"/>
          <w:szCs w:val="24"/>
        </w:rPr>
        <w:t>because one co-owner cannot limit the other co-owners’ right to exploit the copyright.</w:t>
      </w:r>
      <w:r>
        <w:rPr>
          <w:rFonts w:ascii="Californian FB" w:eastAsia="Times New Roman" w:hAnsi="Californian FB" w:cstheme="minorHAnsi"/>
          <w:bCs/>
          <w:iCs/>
          <w:sz w:val="24"/>
          <w:szCs w:val="24"/>
        </w:rPr>
        <w:t xml:space="preserve">  </w:t>
      </w:r>
      <w:r>
        <w:rPr>
          <w:rFonts w:ascii="Californian FB" w:eastAsia="Times New Roman" w:hAnsi="Californian FB" w:cstheme="minorHAnsi"/>
          <w:bCs/>
          <w:i/>
          <w:sz w:val="24"/>
          <w:szCs w:val="24"/>
        </w:rPr>
        <w:t xml:space="preserve">See </w:t>
      </w:r>
      <w:hyperlink r:id="rId183" w:history="1">
        <w:proofErr w:type="spellStart"/>
        <w:r w:rsidRPr="007C0518">
          <w:rPr>
            <w:rStyle w:val="Hyperlink"/>
            <w:rFonts w:ascii="Californian FB" w:eastAsia="Times New Roman" w:hAnsi="Californian FB" w:cstheme="minorHAnsi"/>
            <w:bCs/>
            <w:i/>
            <w:sz w:val="24"/>
            <w:szCs w:val="24"/>
          </w:rPr>
          <w:t>Tresóna</w:t>
        </w:r>
        <w:proofErr w:type="spellEnd"/>
        <w:r w:rsidRPr="007C0518">
          <w:rPr>
            <w:rStyle w:val="Hyperlink"/>
            <w:rFonts w:ascii="Californian FB" w:eastAsia="Times New Roman" w:hAnsi="Californian FB" w:cstheme="minorHAnsi"/>
            <w:bCs/>
            <w:i/>
            <w:sz w:val="24"/>
            <w:szCs w:val="24"/>
          </w:rPr>
          <w:t xml:space="preserve"> Multimedia, LLC v. Burbank High School Vocal Music </w:t>
        </w:r>
        <w:proofErr w:type="spellStart"/>
        <w:proofErr w:type="gramStart"/>
        <w:r w:rsidRPr="007C0518">
          <w:rPr>
            <w:rStyle w:val="Hyperlink"/>
            <w:rFonts w:ascii="Californian FB" w:eastAsia="Times New Roman" w:hAnsi="Californian FB" w:cstheme="minorHAnsi"/>
            <w:bCs/>
            <w:i/>
            <w:sz w:val="24"/>
            <w:szCs w:val="24"/>
          </w:rPr>
          <w:t>Ass’n</w:t>
        </w:r>
        <w:proofErr w:type="spellEnd"/>
        <w:r w:rsidRPr="007C0518">
          <w:rPr>
            <w:rStyle w:val="Hyperlink"/>
            <w:rFonts w:ascii="Californian FB" w:eastAsia="Times New Roman" w:hAnsi="Californian FB" w:cstheme="minorHAnsi"/>
            <w:bCs/>
            <w:iCs/>
            <w:sz w:val="24"/>
            <w:szCs w:val="24"/>
          </w:rPr>
          <w:t xml:space="preserve">, </w:t>
        </w:r>
        <w:r w:rsidRPr="007C0518">
          <w:rPr>
            <w:rStyle w:val="Hyperlink"/>
            <w:rFonts w:ascii="Californian FB" w:eastAsia="Times New Roman" w:hAnsi="Californian FB" w:cstheme="minorHAnsi"/>
            <w:bCs/>
            <w:i/>
            <w:sz w:val="24"/>
            <w:szCs w:val="24"/>
          </w:rPr>
          <w:t xml:space="preserve"> </w:t>
        </w:r>
        <w:r w:rsidRPr="007C0518">
          <w:rPr>
            <w:rStyle w:val="Hyperlink"/>
            <w:rFonts w:ascii="Californian FB" w:eastAsia="Times New Roman" w:hAnsi="Californian FB" w:cstheme="minorHAnsi"/>
            <w:bCs/>
            <w:iCs/>
            <w:sz w:val="24"/>
            <w:szCs w:val="24"/>
          </w:rPr>
          <w:t>953</w:t>
        </w:r>
        <w:proofErr w:type="gramEnd"/>
        <w:r w:rsidRPr="007C0518">
          <w:rPr>
            <w:rStyle w:val="Hyperlink"/>
            <w:rFonts w:ascii="Californian FB" w:eastAsia="Times New Roman" w:hAnsi="Californian FB" w:cstheme="minorHAnsi"/>
            <w:bCs/>
            <w:iCs/>
            <w:sz w:val="24"/>
            <w:szCs w:val="24"/>
          </w:rPr>
          <w:t xml:space="preserve"> F.3d 638, 645-646 (2020)</w:t>
        </w:r>
      </w:hyperlink>
      <w:r>
        <w:rPr>
          <w:rFonts w:ascii="Californian FB" w:eastAsia="Times New Roman" w:hAnsi="Californian FB" w:cstheme="minorHAnsi"/>
          <w:bCs/>
          <w:iCs/>
          <w:sz w:val="24"/>
          <w:szCs w:val="24"/>
        </w:rPr>
        <w:t>.</w:t>
      </w:r>
    </w:p>
    <w:p w14:paraId="68C38EEA" w14:textId="77777777" w:rsidR="00260C60" w:rsidRDefault="00260C60" w:rsidP="00ED6BE0">
      <w:pPr>
        <w:autoSpaceDE w:val="0"/>
        <w:autoSpaceDN w:val="0"/>
        <w:adjustRightInd w:val="0"/>
        <w:spacing w:line="240" w:lineRule="auto"/>
        <w:rPr>
          <w:rFonts w:ascii="Californian FB" w:hAnsi="Californian FB" w:cs="BerkeleyStd-Book"/>
          <w:b/>
          <w:sz w:val="28"/>
          <w:szCs w:val="28"/>
        </w:rPr>
      </w:pPr>
    </w:p>
    <w:p w14:paraId="3791DD10" w14:textId="565728C2" w:rsidR="00C55F08" w:rsidRDefault="00C55F08" w:rsidP="00ED6BE0">
      <w:pPr>
        <w:autoSpaceDE w:val="0"/>
        <w:autoSpaceDN w:val="0"/>
        <w:adjustRightInd w:val="0"/>
        <w:spacing w:line="240" w:lineRule="auto"/>
        <w:rPr>
          <w:rFonts w:ascii="Californian FB" w:hAnsi="Californian FB" w:cs="BerkeleyStd-Book"/>
          <w:b/>
          <w:sz w:val="28"/>
          <w:szCs w:val="28"/>
        </w:rPr>
      </w:pPr>
      <w:r w:rsidRPr="00C55F08">
        <w:rPr>
          <w:rFonts w:ascii="Californian FB" w:hAnsi="Californian FB" w:cs="BerkeleyStd-Book"/>
          <w:b/>
          <w:sz w:val="28"/>
          <w:szCs w:val="28"/>
        </w:rPr>
        <w:t>C. Governments and Legally Binding Works</w:t>
      </w:r>
    </w:p>
    <w:p w14:paraId="71BAA1AB" w14:textId="5D04B593" w:rsidR="00260C60" w:rsidRDefault="00260C60" w:rsidP="00ED6BE0">
      <w:pPr>
        <w:autoSpaceDE w:val="0"/>
        <w:autoSpaceDN w:val="0"/>
        <w:adjustRightInd w:val="0"/>
        <w:spacing w:line="240" w:lineRule="auto"/>
        <w:rPr>
          <w:rFonts w:ascii="Californian FB" w:hAnsi="Californian FB" w:cs="BerkeleyStd-Book"/>
          <w:bCs/>
          <w:sz w:val="28"/>
          <w:szCs w:val="28"/>
        </w:rPr>
      </w:pPr>
      <w:r>
        <w:rPr>
          <w:rFonts w:ascii="Californian FB" w:hAnsi="Californian FB" w:cs="BerkeleyStd-Book"/>
          <w:bCs/>
          <w:sz w:val="28"/>
          <w:szCs w:val="28"/>
        </w:rPr>
        <w:t xml:space="preserve">Page 627 – Replace the subchapter title above, and all material on pages 627-630 before the caption of the </w:t>
      </w:r>
      <w:r>
        <w:rPr>
          <w:rFonts w:ascii="Californian FB" w:hAnsi="Californian FB" w:cs="BerkeleyStd-Book"/>
          <w:bCs/>
          <w:i/>
          <w:iCs/>
          <w:sz w:val="28"/>
          <w:szCs w:val="28"/>
        </w:rPr>
        <w:t xml:space="preserve">Veeck </w:t>
      </w:r>
      <w:r>
        <w:rPr>
          <w:rFonts w:ascii="Californian FB" w:hAnsi="Californian FB" w:cs="BerkeleyStd-Book"/>
          <w:bCs/>
          <w:sz w:val="28"/>
          <w:szCs w:val="28"/>
        </w:rPr>
        <w:t>case, with the following:</w:t>
      </w:r>
    </w:p>
    <w:p w14:paraId="6332B2E1" w14:textId="77777777" w:rsidR="00260C60" w:rsidRPr="0085118D" w:rsidRDefault="00260C60" w:rsidP="00260C60">
      <w:pPr>
        <w:widowControl w:val="0"/>
        <w:autoSpaceDE w:val="0"/>
        <w:autoSpaceDN w:val="0"/>
        <w:adjustRightInd w:val="0"/>
        <w:spacing w:after="0" w:line="240" w:lineRule="auto"/>
        <w:ind w:left="270" w:hanging="270"/>
        <w:jc w:val="both"/>
        <w:rPr>
          <w:rFonts w:ascii="Californian FB" w:hAnsi="Californian FB" w:cs="Arial"/>
          <w:b/>
          <w:bCs/>
          <w:sz w:val="28"/>
          <w:szCs w:val="28"/>
        </w:rPr>
      </w:pPr>
      <w:r w:rsidRPr="0085118D">
        <w:rPr>
          <w:rFonts w:ascii="Californian FB" w:hAnsi="Californian FB" w:cs="Arial"/>
          <w:b/>
          <w:bCs/>
          <w:sz w:val="28"/>
          <w:szCs w:val="28"/>
        </w:rPr>
        <w:t>C. Governments</w:t>
      </w:r>
      <w:r>
        <w:rPr>
          <w:rFonts w:ascii="Californian FB" w:hAnsi="Californian FB" w:cs="Arial"/>
          <w:b/>
          <w:bCs/>
          <w:sz w:val="28"/>
          <w:szCs w:val="28"/>
        </w:rPr>
        <w:t xml:space="preserve"> as Authors and Owners</w:t>
      </w:r>
      <w:r w:rsidRPr="0085118D">
        <w:rPr>
          <w:rFonts w:ascii="Californian FB" w:hAnsi="Californian FB" w:cs="Arial"/>
          <w:b/>
          <w:bCs/>
          <w:sz w:val="28"/>
          <w:szCs w:val="28"/>
        </w:rPr>
        <w:t>, and Legally Binding Works</w:t>
      </w:r>
    </w:p>
    <w:p w14:paraId="2B056038" w14:textId="77777777" w:rsidR="00260C60" w:rsidRDefault="00260C60" w:rsidP="00260C60">
      <w:pPr>
        <w:widowControl w:val="0"/>
        <w:autoSpaceDE w:val="0"/>
        <w:autoSpaceDN w:val="0"/>
        <w:adjustRightInd w:val="0"/>
        <w:spacing w:after="0" w:line="240" w:lineRule="auto"/>
        <w:jc w:val="both"/>
        <w:rPr>
          <w:rFonts w:ascii="Californian FB" w:hAnsi="Californian FB" w:cs="Arial"/>
          <w:b/>
          <w:bCs/>
          <w:sz w:val="24"/>
          <w:szCs w:val="24"/>
        </w:rPr>
      </w:pPr>
    </w:p>
    <w:p w14:paraId="08490F33" w14:textId="77777777" w:rsidR="00260C60" w:rsidRDefault="00260C60" w:rsidP="00260C60">
      <w:pPr>
        <w:autoSpaceDE w:val="0"/>
        <w:autoSpaceDN w:val="0"/>
        <w:adjustRightInd w:val="0"/>
        <w:spacing w:after="0"/>
        <w:jc w:val="both"/>
        <w:rPr>
          <w:rFonts w:ascii="Californian FB" w:hAnsi="Californian FB" w:cs="BerkeleyStd-Book"/>
          <w:sz w:val="24"/>
          <w:szCs w:val="24"/>
        </w:rPr>
      </w:pPr>
      <w:r w:rsidRPr="00C67E2C">
        <w:rPr>
          <w:rFonts w:ascii="Californian FB" w:hAnsi="Californian FB" w:cs="BerkeleyStd-Book"/>
          <w:sz w:val="24"/>
          <w:szCs w:val="24"/>
        </w:rPr>
        <w:t xml:space="preserve">This section addresses </w:t>
      </w:r>
      <w:r>
        <w:rPr>
          <w:rFonts w:ascii="Californian FB" w:hAnsi="Californian FB" w:cs="BerkeleyStd-Book"/>
          <w:sz w:val="24"/>
          <w:szCs w:val="24"/>
        </w:rPr>
        <w:t xml:space="preserve">a number of related issues concerning copyright, governments, and law. The structure of the issues in this area has been affected, but perhaps not entirely clarified, by the very recent Supreme Court decision in </w:t>
      </w:r>
      <w:r>
        <w:rPr>
          <w:rFonts w:ascii="Californian FB" w:hAnsi="Californian FB" w:cs="BerkeleyStd-Book"/>
          <w:i/>
          <w:iCs/>
          <w:sz w:val="24"/>
          <w:szCs w:val="24"/>
        </w:rPr>
        <w:t xml:space="preserve">Georgia v. </w:t>
      </w:r>
      <w:proofErr w:type="gramStart"/>
      <w:r>
        <w:rPr>
          <w:rFonts w:ascii="Californian FB" w:hAnsi="Californian FB" w:cs="BerkeleyStd-Book"/>
          <w:i/>
          <w:iCs/>
          <w:sz w:val="24"/>
          <w:szCs w:val="24"/>
        </w:rPr>
        <w:t>Public.Resource.Org</w:t>
      </w:r>
      <w:proofErr w:type="gramEnd"/>
      <w:r>
        <w:rPr>
          <w:rFonts w:ascii="Californian FB" w:hAnsi="Californian FB" w:cs="BerkeleyStd-Book"/>
          <w:sz w:val="24"/>
          <w:szCs w:val="24"/>
        </w:rPr>
        <w:t>, presented as a principal case below. For the moment, we have chosen to organize the issues into three related but distinct groups</w:t>
      </w:r>
      <w:r w:rsidRPr="00C67E2C">
        <w:rPr>
          <w:rFonts w:ascii="Californian FB" w:hAnsi="Californian FB" w:cs="BerkeleyStd-Book"/>
          <w:sz w:val="24"/>
          <w:szCs w:val="24"/>
        </w:rPr>
        <w:t xml:space="preserve">. The first </w:t>
      </w:r>
      <w:r>
        <w:rPr>
          <w:rFonts w:ascii="Californian FB" w:hAnsi="Californian FB" w:cs="BerkeleyStd-Book"/>
          <w:sz w:val="24"/>
          <w:szCs w:val="24"/>
        </w:rPr>
        <w:t xml:space="preserve">group clusters around the question of </w:t>
      </w:r>
      <w:r w:rsidRPr="00C67E2C">
        <w:rPr>
          <w:rFonts w:ascii="Californian FB" w:hAnsi="Californian FB" w:cs="BerkeleyStd-Book"/>
          <w:sz w:val="24"/>
          <w:szCs w:val="24"/>
        </w:rPr>
        <w:t xml:space="preserve">whether and </w:t>
      </w:r>
      <w:r>
        <w:rPr>
          <w:rFonts w:ascii="Californian FB" w:hAnsi="Californian FB" w:cs="BerkeleyStd-Book"/>
          <w:sz w:val="24"/>
          <w:szCs w:val="24"/>
        </w:rPr>
        <w:t>when</w:t>
      </w:r>
      <w:r w:rsidRPr="00C67E2C">
        <w:rPr>
          <w:rFonts w:ascii="Californian FB" w:hAnsi="Californian FB" w:cs="BerkeleyStd-Book"/>
          <w:sz w:val="24"/>
          <w:szCs w:val="24"/>
        </w:rPr>
        <w:t xml:space="preserve"> government</w:t>
      </w:r>
      <w:r>
        <w:rPr>
          <w:rFonts w:ascii="Californian FB" w:hAnsi="Californian FB" w:cs="BerkeleyStd-Book"/>
          <w:sz w:val="24"/>
          <w:szCs w:val="24"/>
        </w:rPr>
        <w:t xml:space="preserve">s can be “authors” within the meaning of the Copyright Act. Because governments are not natural persons, that question is really the question of whether and when government </w:t>
      </w:r>
      <w:r w:rsidRPr="00C67E2C">
        <w:rPr>
          <w:rFonts w:ascii="Californian FB" w:hAnsi="Californian FB" w:cs="BerkeleyStd-Book"/>
          <w:sz w:val="24"/>
          <w:szCs w:val="24"/>
        </w:rPr>
        <w:t>officials</w:t>
      </w:r>
      <w:r>
        <w:rPr>
          <w:rFonts w:ascii="Californian FB" w:hAnsi="Californian FB" w:cs="BerkeleyStd-Book"/>
          <w:sz w:val="24"/>
          <w:szCs w:val="24"/>
        </w:rPr>
        <w:t xml:space="preserve">, </w:t>
      </w:r>
      <w:r w:rsidRPr="00C67E2C">
        <w:rPr>
          <w:rFonts w:ascii="Californian FB" w:hAnsi="Californian FB" w:cs="BerkeleyStd-Book"/>
          <w:sz w:val="24"/>
          <w:szCs w:val="24"/>
        </w:rPr>
        <w:t>employees</w:t>
      </w:r>
      <w:r>
        <w:rPr>
          <w:rFonts w:ascii="Californian FB" w:hAnsi="Californian FB" w:cs="BerkeleyStd-Book"/>
          <w:sz w:val="24"/>
          <w:szCs w:val="24"/>
        </w:rPr>
        <w:t>,</w:t>
      </w:r>
      <w:r w:rsidRPr="00C67E2C">
        <w:rPr>
          <w:rFonts w:ascii="Californian FB" w:hAnsi="Californian FB" w:cs="BerkeleyStd-Book"/>
          <w:sz w:val="24"/>
          <w:szCs w:val="24"/>
        </w:rPr>
        <w:t xml:space="preserve"> </w:t>
      </w:r>
      <w:r>
        <w:rPr>
          <w:rFonts w:ascii="Californian FB" w:hAnsi="Californian FB" w:cs="BerkeleyStd-Book"/>
          <w:sz w:val="24"/>
          <w:szCs w:val="24"/>
        </w:rPr>
        <w:t>or contractors c</w:t>
      </w:r>
      <w:r w:rsidRPr="00C67E2C">
        <w:rPr>
          <w:rFonts w:ascii="Californian FB" w:hAnsi="Californian FB" w:cs="BerkeleyStd-Book"/>
          <w:sz w:val="24"/>
          <w:szCs w:val="24"/>
        </w:rPr>
        <w:t xml:space="preserve">an create works </w:t>
      </w:r>
      <w:r>
        <w:rPr>
          <w:rFonts w:ascii="Californian FB" w:hAnsi="Californian FB" w:cs="BerkeleyStd-Book"/>
          <w:sz w:val="24"/>
          <w:szCs w:val="24"/>
        </w:rPr>
        <w:t xml:space="preserve">in which copyright can be claimed </w:t>
      </w:r>
      <w:r w:rsidRPr="00C67E2C">
        <w:rPr>
          <w:rFonts w:ascii="Californian FB" w:hAnsi="Californian FB" w:cs="BerkeleyStd-Book"/>
          <w:sz w:val="24"/>
          <w:szCs w:val="24"/>
        </w:rPr>
        <w:t>by the government</w:t>
      </w:r>
      <w:r>
        <w:rPr>
          <w:rFonts w:ascii="Californian FB" w:hAnsi="Californian FB" w:cs="BerkeleyStd-Book"/>
          <w:sz w:val="24"/>
          <w:szCs w:val="24"/>
        </w:rPr>
        <w:t>s that employ or contract with them</w:t>
      </w:r>
      <w:r w:rsidRPr="00C67E2C">
        <w:rPr>
          <w:rFonts w:ascii="Californian FB" w:hAnsi="Californian FB" w:cs="BerkeleyStd-Book"/>
          <w:sz w:val="24"/>
          <w:szCs w:val="24"/>
        </w:rPr>
        <w:t>. As we will see, the answer</w:t>
      </w:r>
      <w:r>
        <w:rPr>
          <w:rFonts w:ascii="Californian FB" w:hAnsi="Californian FB" w:cs="BerkeleyStd-Book"/>
          <w:sz w:val="24"/>
          <w:szCs w:val="24"/>
        </w:rPr>
        <w:t xml:space="preserve"> is</w:t>
      </w:r>
      <w:r w:rsidRPr="00C67E2C">
        <w:rPr>
          <w:rFonts w:ascii="Californian FB" w:hAnsi="Californian FB" w:cs="BerkeleyStd-Book"/>
          <w:sz w:val="24"/>
          <w:szCs w:val="24"/>
        </w:rPr>
        <w:t xml:space="preserve"> different </w:t>
      </w:r>
      <w:r>
        <w:rPr>
          <w:rFonts w:ascii="Californian FB" w:hAnsi="Californian FB" w:cs="BerkeleyStd-Book"/>
          <w:sz w:val="24"/>
          <w:szCs w:val="24"/>
        </w:rPr>
        <w:t>for different types of officials or employees, and is also different for the federal government than for state governments</w:t>
      </w:r>
      <w:r w:rsidRPr="00C67E2C">
        <w:rPr>
          <w:rFonts w:ascii="Californian FB" w:hAnsi="Californian FB" w:cs="BerkeleyStd-Book"/>
          <w:sz w:val="24"/>
          <w:szCs w:val="24"/>
        </w:rPr>
        <w:t xml:space="preserve">.  </w:t>
      </w:r>
      <w:r>
        <w:rPr>
          <w:rFonts w:ascii="Californian FB" w:hAnsi="Californian FB" w:cs="BerkeleyStd-Book"/>
          <w:sz w:val="24"/>
          <w:szCs w:val="24"/>
        </w:rPr>
        <w:t xml:space="preserve">The second group concerns whether and when governments can become owners of copyright by assignment </w:t>
      </w:r>
      <w:r>
        <w:rPr>
          <w:rFonts w:ascii="Californian FB" w:hAnsi="Californian FB" w:cs="BerkeleyStd-Book"/>
          <w:sz w:val="24"/>
          <w:szCs w:val="24"/>
        </w:rPr>
        <w:lastRenderedPageBreak/>
        <w:t xml:space="preserve">in works authored by private individuals. </w:t>
      </w:r>
      <w:r w:rsidRPr="00C67E2C">
        <w:rPr>
          <w:rFonts w:ascii="Californian FB" w:hAnsi="Californian FB" w:cs="BerkeleyStd-Book"/>
          <w:sz w:val="24"/>
          <w:szCs w:val="24"/>
        </w:rPr>
        <w:t xml:space="preserve">The </w:t>
      </w:r>
      <w:r>
        <w:rPr>
          <w:rFonts w:ascii="Californian FB" w:hAnsi="Californian FB" w:cs="BerkeleyStd-Book"/>
          <w:sz w:val="24"/>
          <w:szCs w:val="24"/>
        </w:rPr>
        <w:t>third group concerns</w:t>
      </w:r>
      <w:r w:rsidRPr="00C67E2C">
        <w:rPr>
          <w:rFonts w:ascii="Californian FB" w:hAnsi="Californian FB" w:cs="BerkeleyStd-Book"/>
          <w:sz w:val="24"/>
          <w:szCs w:val="24"/>
        </w:rPr>
        <w:t xml:space="preserve"> whether and under what </w:t>
      </w:r>
      <w:r>
        <w:rPr>
          <w:rFonts w:ascii="Californian FB" w:hAnsi="Californian FB" w:cs="BerkeleyStd-Book"/>
          <w:sz w:val="24"/>
          <w:szCs w:val="24"/>
        </w:rPr>
        <w:t>conditions private individuals c</w:t>
      </w:r>
      <w:r w:rsidRPr="00C67E2C">
        <w:rPr>
          <w:rFonts w:ascii="Californian FB" w:hAnsi="Californian FB" w:cs="BerkeleyStd-Book"/>
          <w:sz w:val="24"/>
          <w:szCs w:val="24"/>
        </w:rPr>
        <w:t xml:space="preserve">an </w:t>
      </w:r>
      <w:r>
        <w:rPr>
          <w:rFonts w:ascii="Californian FB" w:hAnsi="Californian FB" w:cs="BerkeleyStd-Book"/>
          <w:sz w:val="24"/>
          <w:szCs w:val="24"/>
        </w:rPr>
        <w:t>own</w:t>
      </w:r>
      <w:r w:rsidRPr="00C67E2C">
        <w:rPr>
          <w:rFonts w:ascii="Californian FB" w:hAnsi="Californian FB" w:cs="BerkeleyStd-Book"/>
          <w:sz w:val="24"/>
          <w:szCs w:val="24"/>
        </w:rPr>
        <w:t xml:space="preserve"> copyright </w:t>
      </w:r>
      <w:r>
        <w:rPr>
          <w:rFonts w:ascii="Californian FB" w:hAnsi="Californian FB" w:cs="BerkeleyStd-Book"/>
          <w:sz w:val="24"/>
          <w:szCs w:val="24"/>
        </w:rPr>
        <w:t xml:space="preserve">in works that have become legally binding. </w:t>
      </w:r>
    </w:p>
    <w:p w14:paraId="75D8DC9C" w14:textId="77777777" w:rsidR="00260C60" w:rsidRDefault="00260C60" w:rsidP="00260C60">
      <w:pPr>
        <w:autoSpaceDE w:val="0"/>
        <w:autoSpaceDN w:val="0"/>
        <w:adjustRightInd w:val="0"/>
        <w:spacing w:after="0" w:line="240" w:lineRule="auto"/>
        <w:jc w:val="both"/>
        <w:rPr>
          <w:rFonts w:ascii="Californian FB" w:hAnsi="Californian FB" w:cs="BerkeleyStd-Book"/>
          <w:sz w:val="24"/>
          <w:szCs w:val="24"/>
        </w:rPr>
      </w:pPr>
    </w:p>
    <w:p w14:paraId="1B9438A5" w14:textId="77777777" w:rsidR="00260C60" w:rsidRPr="0085118D" w:rsidRDefault="00260C60" w:rsidP="00260C60">
      <w:pPr>
        <w:autoSpaceDE w:val="0"/>
        <w:autoSpaceDN w:val="0"/>
        <w:adjustRightInd w:val="0"/>
        <w:spacing w:after="0" w:line="240" w:lineRule="auto"/>
        <w:jc w:val="both"/>
        <w:rPr>
          <w:rFonts w:ascii="Californian FB" w:hAnsi="Californian FB" w:cs="BerkeleyStd-Book"/>
          <w:b/>
          <w:bCs/>
          <w:sz w:val="28"/>
          <w:szCs w:val="28"/>
        </w:rPr>
      </w:pPr>
      <w:r w:rsidRPr="0085118D">
        <w:rPr>
          <w:rFonts w:ascii="Californian FB" w:hAnsi="Californian FB" w:cs="BerkeleyStd-Book"/>
          <w:b/>
          <w:bCs/>
          <w:sz w:val="28"/>
          <w:szCs w:val="28"/>
        </w:rPr>
        <w:t>1. Authorship by Government Officials “Empowered to Speak with the Force of Law”</w:t>
      </w:r>
    </w:p>
    <w:p w14:paraId="204DE20B" w14:textId="77777777" w:rsidR="00260C60" w:rsidRDefault="00260C60" w:rsidP="00260C60">
      <w:pPr>
        <w:widowControl w:val="0"/>
        <w:autoSpaceDE w:val="0"/>
        <w:autoSpaceDN w:val="0"/>
        <w:adjustRightInd w:val="0"/>
        <w:spacing w:after="0" w:line="240" w:lineRule="auto"/>
        <w:rPr>
          <w:rFonts w:ascii="Times New Roman" w:hAnsi="Times New Roman" w:cs="Times New Roman"/>
          <w:color w:val="000000"/>
          <w:sz w:val="24"/>
          <w:szCs w:val="24"/>
        </w:rPr>
      </w:pPr>
    </w:p>
    <w:p w14:paraId="5C46386A" w14:textId="77777777" w:rsidR="008D2F50" w:rsidRPr="00F37744" w:rsidRDefault="008D2F50" w:rsidP="008D2F50">
      <w:pPr>
        <w:widowControl w:val="0"/>
        <w:pBdr>
          <w:bottom w:val="single" w:sz="12" w:space="3" w:color="0033CC"/>
        </w:pBdr>
        <w:autoSpaceDE w:val="0"/>
        <w:autoSpaceDN w:val="0"/>
        <w:adjustRightInd w:val="0"/>
        <w:spacing w:after="80"/>
        <w:outlineLvl w:val="0"/>
        <w:rPr>
          <w:rFonts w:ascii="Californian FB" w:hAnsi="Californian FB"/>
          <w:b/>
          <w:bCs/>
          <w:i/>
          <w:iCs/>
          <w:color w:val="0000FF"/>
          <w:sz w:val="26"/>
          <w:szCs w:val="26"/>
        </w:rPr>
      </w:pPr>
      <w:bookmarkStart w:id="117" w:name="co_document_1"/>
      <w:bookmarkStart w:id="118" w:name="I781e23cf888511eaa154dedcbee99b91_Target"/>
      <w:bookmarkEnd w:id="117"/>
      <w:bookmarkEnd w:id="118"/>
      <w:r>
        <w:rPr>
          <w:rFonts w:ascii="Californian FB" w:hAnsi="Californian FB"/>
          <w:b/>
          <w:bCs/>
          <w:i/>
          <w:iCs/>
          <w:color w:val="0000FF"/>
          <w:sz w:val="26"/>
          <w:szCs w:val="26"/>
        </w:rPr>
        <w:t xml:space="preserve">Georgia v. </w:t>
      </w:r>
      <w:proofErr w:type="gramStart"/>
      <w:r>
        <w:rPr>
          <w:rFonts w:ascii="Californian FB" w:hAnsi="Californian FB"/>
          <w:b/>
          <w:bCs/>
          <w:i/>
          <w:iCs/>
          <w:color w:val="0000FF"/>
          <w:sz w:val="26"/>
          <w:szCs w:val="26"/>
        </w:rPr>
        <w:t>Public.Resource.Org</w:t>
      </w:r>
      <w:proofErr w:type="gramEnd"/>
      <w:r>
        <w:rPr>
          <w:rFonts w:ascii="Californian FB" w:hAnsi="Californian FB"/>
          <w:b/>
          <w:bCs/>
          <w:i/>
          <w:iCs/>
          <w:color w:val="0000FF"/>
          <w:sz w:val="26"/>
          <w:szCs w:val="26"/>
        </w:rPr>
        <w:t>, Inc.</w:t>
      </w:r>
      <w:r w:rsidRPr="00F37744">
        <w:rPr>
          <w:rFonts w:ascii="Californian FB" w:hAnsi="Californian FB"/>
          <w:b/>
          <w:bCs/>
          <w:i/>
          <w:iCs/>
          <w:color w:val="0000FF"/>
          <w:sz w:val="26"/>
          <w:szCs w:val="26"/>
        </w:rPr>
        <w:t xml:space="preserve"> </w:t>
      </w:r>
    </w:p>
    <w:p w14:paraId="0CEF3492" w14:textId="77777777" w:rsidR="008D2F50"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United </w:t>
      </w:r>
      <w:r>
        <w:rPr>
          <w:rFonts w:ascii="Californian FB" w:hAnsi="Californian FB" w:cs="Times New Roman"/>
          <w:color w:val="000000"/>
          <w:sz w:val="24"/>
          <w:szCs w:val="24"/>
        </w:rPr>
        <w:t>States Supreme Court, 2020</w:t>
      </w:r>
    </w:p>
    <w:p w14:paraId="4FC07465" w14:textId="77777777" w:rsidR="008D2F50" w:rsidRDefault="008D2F50" w:rsidP="008D2F50">
      <w:pPr>
        <w:widowControl w:val="0"/>
        <w:autoSpaceDE w:val="0"/>
        <w:autoSpaceDN w:val="0"/>
        <w:adjustRightInd w:val="0"/>
        <w:spacing w:after="0" w:line="240" w:lineRule="auto"/>
        <w:jc w:val="both"/>
        <w:rPr>
          <w:rFonts w:ascii="Californian FB" w:hAnsi="Californian FB" w:cs="Times New Roman"/>
          <w:color w:val="000000"/>
          <w:sz w:val="24"/>
          <w:szCs w:val="24"/>
        </w:rPr>
      </w:pPr>
      <w:r>
        <w:rPr>
          <w:rFonts w:ascii="Californian FB" w:hAnsi="Californian FB" w:cs="Times New Roman"/>
          <w:color w:val="000000"/>
          <w:sz w:val="24"/>
          <w:szCs w:val="24"/>
        </w:rPr>
        <w:t>140 S. Ct. 1498</w:t>
      </w:r>
      <w:bookmarkStart w:id="119" w:name="co_synopsis_1"/>
      <w:bookmarkStart w:id="120" w:name="co_opinion_1"/>
      <w:bookmarkStart w:id="121" w:name="co_anchor_I6f79a6f2b6b911eaa4c6fcfe61768"/>
      <w:bookmarkEnd w:id="119"/>
      <w:bookmarkEnd w:id="120"/>
      <w:bookmarkEnd w:id="121"/>
    </w:p>
    <w:p w14:paraId="1921E703"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44A82353" w14:textId="7865AA63" w:rsidR="00260C60" w:rsidRPr="001B024C" w:rsidRDefault="00000000" w:rsidP="00260C60">
      <w:pPr>
        <w:widowControl w:val="0"/>
        <w:autoSpaceDE w:val="0"/>
        <w:autoSpaceDN w:val="0"/>
        <w:adjustRightInd w:val="0"/>
        <w:spacing w:after="0" w:line="240" w:lineRule="auto"/>
        <w:jc w:val="both"/>
        <w:rPr>
          <w:rFonts w:ascii="Californian FB" w:hAnsi="Californian FB" w:cs="Times New Roman"/>
          <w:b/>
          <w:bCs/>
          <w:color w:val="000000"/>
          <w:sz w:val="24"/>
          <w:szCs w:val="24"/>
        </w:rPr>
      </w:pPr>
      <w:hyperlink r:id="rId184" w:history="1">
        <w:r w:rsidR="00260C60" w:rsidRPr="001B024C">
          <w:rPr>
            <w:rFonts w:ascii="Californian FB" w:hAnsi="Californian FB" w:cs="Times New Roman"/>
            <w:b/>
            <w:bCs/>
            <w:color w:val="000000"/>
            <w:sz w:val="24"/>
            <w:szCs w:val="24"/>
          </w:rPr>
          <w:t>ROBERTS</w:t>
        </w:r>
      </w:hyperlink>
      <w:r w:rsidR="00260C60" w:rsidRPr="001B024C">
        <w:rPr>
          <w:rFonts w:ascii="Californian FB" w:hAnsi="Californian FB" w:cs="Times New Roman"/>
          <w:b/>
          <w:bCs/>
          <w:color w:val="000000"/>
          <w:sz w:val="24"/>
          <w:szCs w:val="24"/>
        </w:rPr>
        <w:t xml:space="preserve">, </w:t>
      </w:r>
      <w:proofErr w:type="gramStart"/>
      <w:r w:rsidR="00260C60" w:rsidRPr="001B024C">
        <w:rPr>
          <w:rFonts w:ascii="Californian FB" w:hAnsi="Californian FB" w:cs="Times New Roman"/>
          <w:b/>
          <w:bCs/>
          <w:color w:val="000000"/>
          <w:sz w:val="24"/>
          <w:szCs w:val="24"/>
        </w:rPr>
        <w:t>C.J..</w:t>
      </w:r>
      <w:proofErr w:type="gramEnd"/>
    </w:p>
    <w:p w14:paraId="015FFAB4" w14:textId="77777777" w:rsidR="00260C60" w:rsidRPr="00E50689"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bookmarkStart w:id="122" w:name="co_anchor_I6fb3a2b2b6b911eaa4c6fcfe61768"/>
      <w:bookmarkEnd w:id="122"/>
    </w:p>
    <w:p w14:paraId="5A216CCF" w14:textId="6F468522"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23" w:name="co_pp_sp_708_1503_1"/>
      <w:bookmarkEnd w:id="123"/>
      <w:r w:rsidRPr="00E50689">
        <w:rPr>
          <w:rFonts w:ascii="Californian FB" w:hAnsi="Californian FB" w:cs="Times New Roman"/>
          <w:color w:val="000000"/>
          <w:sz w:val="24"/>
          <w:szCs w:val="24"/>
        </w:rPr>
        <w:t xml:space="preserve">The Copyright Act grants potent, decades-long monopoly protection for “original works of authorship.” </w:t>
      </w:r>
      <w:hyperlink r:id="rId185" w:anchor="co_pp_8b3b0000958a4" w:history="1">
        <w:r w:rsidRPr="00E50689">
          <w:rPr>
            <w:rFonts w:ascii="Californian FB" w:hAnsi="Californian FB" w:cs="Times New Roman"/>
            <w:color w:val="000000"/>
            <w:sz w:val="24"/>
            <w:szCs w:val="24"/>
          </w:rPr>
          <w:t>17 U.S.C. § 102(a)</w:t>
        </w:r>
      </w:hyperlink>
      <w:r w:rsidRPr="00E50689">
        <w:rPr>
          <w:rFonts w:ascii="Californian FB" w:hAnsi="Californian FB" w:cs="Times New Roman"/>
          <w:color w:val="000000"/>
          <w:sz w:val="24"/>
          <w:szCs w:val="24"/>
        </w:rPr>
        <w:t>. The question in this case is whether that protection extends to the annotations</w:t>
      </w:r>
      <w:bookmarkStart w:id="124" w:name="co_pp_sp_708_1504_1"/>
      <w:bookmarkEnd w:id="124"/>
      <w:r>
        <w:rPr>
          <w:rFonts w:ascii="Californian FB" w:hAnsi="Californian FB" w:cs="Times New Roman"/>
          <w:color w:val="000000"/>
          <w:sz w:val="24"/>
          <w:szCs w:val="24"/>
        </w:rPr>
        <w:t xml:space="preserve"> </w:t>
      </w:r>
      <w:r w:rsidRPr="00E50689">
        <w:rPr>
          <w:rFonts w:ascii="Californian FB" w:hAnsi="Californian FB" w:cs="Times New Roman"/>
          <w:color w:val="000000"/>
          <w:sz w:val="24"/>
          <w:szCs w:val="24"/>
        </w:rPr>
        <w:t>contained in Georgia’s official annotated code.</w:t>
      </w:r>
    </w:p>
    <w:p w14:paraId="4F581B7D"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bookmarkStart w:id="125" w:name="co_anchor_B12050840643_1"/>
      <w:bookmarkEnd w:id="125"/>
    </w:p>
    <w:p w14:paraId="02236AF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We hold that it does not. Over a century ago, we recognized a limitation on copyright protection for certain government work product, rooted in the Copyright Act’s “authorship” requirement. Under what has been dubbed the government edicts doctrine, officials empowered to speak with the force of law cannot be the authors of—and therefore cannot copyright—the works they create in the course of their official duties.</w:t>
      </w:r>
    </w:p>
    <w:p w14:paraId="23CC7149"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7522BD48" w14:textId="7F6E5C3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We have previously applied that doctrine to hold that non-binding, explanatory legal materials are not copyrightable when created </w:t>
      </w:r>
      <w:r w:rsidRPr="00E50689">
        <w:rPr>
          <w:rFonts w:ascii="Californian FB" w:hAnsi="Californian FB" w:cs="Times New Roman"/>
          <w:i/>
          <w:iCs/>
          <w:color w:val="000000"/>
          <w:sz w:val="24"/>
          <w:szCs w:val="24"/>
        </w:rPr>
        <w:t>by judges</w:t>
      </w:r>
      <w:r w:rsidRPr="00E50689">
        <w:rPr>
          <w:rFonts w:ascii="Californian FB" w:hAnsi="Californian FB" w:cs="Times New Roman"/>
          <w:color w:val="000000"/>
          <w:sz w:val="24"/>
          <w:szCs w:val="24"/>
        </w:rPr>
        <w:t xml:space="preserve"> who possess the authority to make and interpret the law. See </w:t>
      </w:r>
      <w:hyperlink r:id="rId186" w:history="1">
        <w:r w:rsidRPr="00E50689">
          <w:rPr>
            <w:rFonts w:ascii="Californian FB" w:hAnsi="Californian FB" w:cs="Times New Roman"/>
            <w:i/>
            <w:iCs/>
            <w:color w:val="000000"/>
            <w:sz w:val="24"/>
            <w:szCs w:val="24"/>
          </w:rPr>
          <w:t>Banks v. Manchester</w:t>
        </w:r>
        <w:r w:rsidRPr="00E50689">
          <w:rPr>
            <w:rFonts w:ascii="Californian FB" w:hAnsi="Californian FB" w:cs="Times New Roman"/>
            <w:color w:val="000000"/>
            <w:sz w:val="24"/>
            <w:szCs w:val="24"/>
          </w:rPr>
          <w:t xml:space="preserve">, 128 U.S. 244,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36, 32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425 (1888)</w:t>
        </w:r>
      </w:hyperlink>
      <w:r w:rsidRPr="00E50689">
        <w:rPr>
          <w:rFonts w:ascii="Californian FB" w:hAnsi="Californian FB" w:cs="Times New Roman"/>
          <w:color w:val="000000"/>
          <w:sz w:val="24"/>
          <w:szCs w:val="24"/>
        </w:rPr>
        <w:t xml:space="preserve">. We now recognize that the same logic applies to non-binding, explanatory legal materials created </w:t>
      </w:r>
      <w:r w:rsidRPr="00E50689">
        <w:rPr>
          <w:rFonts w:ascii="Californian FB" w:hAnsi="Californian FB" w:cs="Times New Roman"/>
          <w:i/>
          <w:iCs/>
          <w:color w:val="000000"/>
          <w:sz w:val="24"/>
          <w:szCs w:val="24"/>
        </w:rPr>
        <w:t>by</w:t>
      </w:r>
      <w:r w:rsidRPr="00E50689">
        <w:rPr>
          <w:rFonts w:ascii="Californian FB" w:hAnsi="Californian FB" w:cs="Times New Roman"/>
          <w:color w:val="000000"/>
          <w:sz w:val="24"/>
          <w:szCs w:val="24"/>
        </w:rPr>
        <w:t xml:space="preserve"> </w:t>
      </w:r>
      <w:r w:rsidRPr="00E50689">
        <w:rPr>
          <w:rFonts w:ascii="Californian FB" w:hAnsi="Californian FB" w:cs="Times New Roman"/>
          <w:i/>
          <w:iCs/>
          <w:color w:val="000000"/>
          <w:sz w:val="24"/>
          <w:szCs w:val="24"/>
        </w:rPr>
        <w:t>a legislative body</w:t>
      </w:r>
      <w:r w:rsidRPr="00E50689">
        <w:rPr>
          <w:rFonts w:ascii="Californian FB" w:hAnsi="Californian FB" w:cs="Times New Roman"/>
          <w:color w:val="000000"/>
          <w:sz w:val="24"/>
          <w:szCs w:val="24"/>
        </w:rPr>
        <w:t xml:space="preserve"> vested with the authority to make law. Because Georgia’s annotations are authored by an arm of the legislature in the course of its legislative duties, the government edicts doctrine puts them outside the reach of copyright protection.</w:t>
      </w:r>
    </w:p>
    <w:p w14:paraId="50C47A1A" w14:textId="77777777"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r w:rsidRPr="00E50689">
        <w:rPr>
          <w:rFonts w:ascii="Californian FB" w:hAnsi="Californian FB" w:cs="Times New Roman"/>
          <w:color w:val="000000"/>
          <w:sz w:val="24"/>
          <w:szCs w:val="24"/>
        </w:rPr>
        <w:t>I</w:t>
      </w:r>
    </w:p>
    <w:p w14:paraId="1C8D1688" w14:textId="77777777" w:rsidR="00260C60" w:rsidRPr="00E50689" w:rsidRDefault="00260C60" w:rsidP="00D95621">
      <w:pPr>
        <w:widowControl w:val="0"/>
        <w:autoSpaceDE w:val="0"/>
        <w:autoSpaceDN w:val="0"/>
        <w:adjustRightInd w:val="0"/>
        <w:spacing w:after="120" w:line="240" w:lineRule="auto"/>
        <w:ind w:firstLine="360"/>
        <w:jc w:val="center"/>
        <w:rPr>
          <w:rFonts w:ascii="Californian FB" w:hAnsi="Californian FB" w:cs="Times New Roman"/>
          <w:color w:val="000000"/>
          <w:sz w:val="24"/>
          <w:szCs w:val="24"/>
        </w:rPr>
      </w:pPr>
      <w:bookmarkStart w:id="126" w:name="co_anchor_I6fb6d701b6b911eaa4c6fcfe61768"/>
      <w:bookmarkEnd w:id="126"/>
      <w:r>
        <w:rPr>
          <w:rFonts w:ascii="Californian FB" w:hAnsi="Californian FB" w:cs="Times New Roman"/>
          <w:color w:val="000000"/>
          <w:sz w:val="24"/>
          <w:szCs w:val="24"/>
        </w:rPr>
        <w:t>A</w:t>
      </w:r>
    </w:p>
    <w:p w14:paraId="6BA6262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The State of Georgia has one official code—the “Official Code of Georgia Annotated,” or OCGA. The first page of each volume of the OCGA boasts the State’s official seal and announces to readers that it is “Published Under Authority of the State.”</w:t>
      </w:r>
    </w:p>
    <w:p w14:paraId="6011F889"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2C78884C" w14:textId="417282C6"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The OCGA includes the text of every Georgia statute currently in force, as well as various non-binding supplementary materials. At issue in this case is a set of annotations that appear beneath each statutory provision. The annotations generally include summaries of judicial decisions applying a given provision, summaries of any pertinent opinions of the state attorney general, and a list of related law review articles and similar reference materials. In addition, the annotations often include editor’s notes that provide information about the origins of the statutory text, such as whether it derives from a particular judicial decision or resembles an older provision that has been construed by Georgia courts. See,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w:t>
      </w:r>
      <w:hyperlink r:id="rId187" w:history="1">
        <w:r w:rsidRPr="00E50689">
          <w:rPr>
            <w:rFonts w:ascii="Californian FB" w:hAnsi="Californian FB" w:cs="Times New Roman"/>
            <w:color w:val="000000"/>
            <w:sz w:val="24"/>
            <w:szCs w:val="24"/>
          </w:rPr>
          <w:t>OCGA §§ 51–1–1</w:t>
        </w:r>
      </w:hyperlink>
      <w:r w:rsidRPr="00E50689">
        <w:rPr>
          <w:rFonts w:ascii="Californian FB" w:hAnsi="Californian FB" w:cs="Times New Roman"/>
          <w:color w:val="000000"/>
          <w:sz w:val="24"/>
          <w:szCs w:val="24"/>
        </w:rPr>
        <w:t xml:space="preserve">, </w:t>
      </w:r>
      <w:hyperlink r:id="rId188" w:history="1">
        <w:r w:rsidRPr="00E50689">
          <w:rPr>
            <w:rFonts w:ascii="Californian FB" w:hAnsi="Californian FB" w:cs="Times New Roman"/>
            <w:color w:val="000000"/>
            <w:sz w:val="24"/>
            <w:szCs w:val="24"/>
          </w:rPr>
          <w:t>53–4–2</w:t>
        </w:r>
      </w:hyperlink>
      <w:r w:rsidRPr="00E50689">
        <w:rPr>
          <w:rFonts w:ascii="Californian FB" w:hAnsi="Californian FB" w:cs="Times New Roman"/>
          <w:color w:val="000000"/>
          <w:sz w:val="24"/>
          <w:szCs w:val="24"/>
        </w:rPr>
        <w:t xml:space="preserve"> (2019).</w:t>
      </w:r>
    </w:p>
    <w:p w14:paraId="27118DF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78146ED" w14:textId="346D980A"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27" w:name="co_anchor_B22050840643_1"/>
      <w:bookmarkEnd w:id="127"/>
      <w:r w:rsidRPr="00E50689">
        <w:rPr>
          <w:rFonts w:ascii="Californian FB" w:hAnsi="Californian FB" w:cs="Times New Roman"/>
          <w:color w:val="000000"/>
          <w:sz w:val="24"/>
          <w:szCs w:val="24"/>
        </w:rPr>
        <w:lastRenderedPageBreak/>
        <w:t xml:space="preserve">The OCGA is assembled by a state entity called the Code Revision Commission. In 1977, the Georgia Legislature established the Commission to recodify Georgia law for the first time in decades. The Commission was (and remains) tasked with consolidating disparate bills into a single Code for reenactment by the legislature and contracting with a third party to produce the annotations. A majority of the Commission’s 15 members must be members of the Georgia Senate or House of Representatives. The Commission receives funding through appropriations “provided for the legislative branch of state government.” </w:t>
      </w:r>
      <w:hyperlink r:id="rId189" w:anchor="co_pp_4b24000003ba5" w:history="1">
        <w:r w:rsidRPr="00E50689">
          <w:rPr>
            <w:rFonts w:ascii="Californian FB" w:hAnsi="Californian FB" w:cs="Times New Roman"/>
            <w:color w:val="000000"/>
            <w:sz w:val="24"/>
            <w:szCs w:val="24"/>
          </w:rPr>
          <w:t>OCGA § 28–9–2(c)</w:t>
        </w:r>
      </w:hyperlink>
      <w:r w:rsidRPr="00E50689">
        <w:rPr>
          <w:rFonts w:ascii="Californian FB" w:hAnsi="Californian FB" w:cs="Times New Roman"/>
          <w:color w:val="000000"/>
          <w:sz w:val="24"/>
          <w:szCs w:val="24"/>
        </w:rPr>
        <w:t xml:space="preserve"> (2018). And it is staffed by the Office of Legislative Counsel, which is obligated by statute to provide services “for the legislative branch of government.” §§ 28–4–3(c)(4), 28–9–4. Under the Georgia Constitution, the Commission’s role in compiling the statutory text and accompanying annotations falls “within the sphere of legislative authority.” </w:t>
      </w:r>
      <w:hyperlink r:id="rId190" w:anchor="co_pp_sp_711_34" w:history="1">
        <w:r w:rsidRPr="00E50689">
          <w:rPr>
            <w:rFonts w:ascii="Californian FB" w:hAnsi="Californian FB" w:cs="Times New Roman"/>
            <w:i/>
            <w:iCs/>
            <w:color w:val="000000"/>
            <w:sz w:val="24"/>
            <w:szCs w:val="24"/>
          </w:rPr>
          <w:t>Harrison Co. v. Code Revision Comm’n</w:t>
        </w:r>
        <w:r w:rsidRPr="00E50689">
          <w:rPr>
            <w:rFonts w:ascii="Californian FB" w:hAnsi="Californian FB" w:cs="Times New Roman"/>
            <w:color w:val="000000"/>
            <w:sz w:val="24"/>
            <w:szCs w:val="24"/>
          </w:rPr>
          <w:t>, 244 Ga. 325, 330, 260 S.E.2d 30, 34 (1979)</w:t>
        </w:r>
      </w:hyperlink>
      <w:r w:rsidRPr="00E50689">
        <w:rPr>
          <w:rFonts w:ascii="Californian FB" w:hAnsi="Californian FB" w:cs="Times New Roman"/>
          <w:color w:val="000000"/>
          <w:sz w:val="24"/>
          <w:szCs w:val="24"/>
        </w:rPr>
        <w:t>.</w:t>
      </w:r>
    </w:p>
    <w:p w14:paraId="658AE36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1C423F62" w14:textId="6B6E97B0"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Each year, the Commission submits its proposed statutory text and accompanying annotations to the legislature for approval. The legislature then votes to do three things: (1) “enact[ ]” the “statutory portion of the codification of Georgia laws”; (2) “merge[ ]” the statutory portion “with [the] annotations”; and (3) “publish[ ]” the </w:t>
      </w:r>
      <w:bookmarkStart w:id="128" w:name="co_pp_sp_708_1505_1"/>
      <w:bookmarkEnd w:id="128"/>
      <w:r w:rsidRPr="00E50689">
        <w:rPr>
          <w:rFonts w:ascii="Californian FB" w:hAnsi="Californian FB" w:cs="Times New Roman"/>
          <w:color w:val="000000"/>
          <w:sz w:val="24"/>
          <w:szCs w:val="24"/>
        </w:rPr>
        <w:t xml:space="preserve">final merged product “by authority of the state” as “the ‘Official Code of Georgia Annotated.’ ” </w:t>
      </w:r>
      <w:hyperlink r:id="rId191" w:history="1">
        <w:r w:rsidRPr="00E50689">
          <w:rPr>
            <w:rFonts w:ascii="Californian FB" w:hAnsi="Californian FB" w:cs="Times New Roman"/>
            <w:color w:val="000000"/>
            <w:sz w:val="24"/>
            <w:szCs w:val="24"/>
          </w:rPr>
          <w:t>OCGA § 1–1–1</w:t>
        </w:r>
      </w:hyperlink>
      <w:r w:rsidRPr="00E50689">
        <w:rPr>
          <w:rFonts w:ascii="Californian FB" w:hAnsi="Californian FB" w:cs="Times New Roman"/>
          <w:color w:val="000000"/>
          <w:sz w:val="24"/>
          <w:szCs w:val="24"/>
        </w:rPr>
        <w:t xml:space="preserve"> (2019)</w:t>
      </w:r>
      <w:r>
        <w:rPr>
          <w:rFonts w:ascii="Californian FB" w:hAnsi="Californian FB" w:cs="Times New Roman"/>
          <w:color w:val="000000"/>
          <w:sz w:val="24"/>
          <w:szCs w:val="24"/>
        </w:rPr>
        <w:t>.</w:t>
      </w:r>
    </w:p>
    <w:p w14:paraId="34865417"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2054C6C1"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The annotations in the current OCGA were prepared in the first instance by Matthew Bender &amp; Co., Inc., a division of the LexisNexis Group, pursuant to a work-for-hire agreement with the Commission. The agreement between Lexis and the Commission states that any copyright in the OCGA vests exclusively in “the State of Georgia, acting through the Commission.” Lexis and its army of researchers perform the lion’s share of the work in drafting the annotations, but the Commission supervises that work and specifies what the annotations must include in exacting detail. Under the agreement, Lexis enjoys the exclusive right to publish, distribute, and sell the OCGA. In exchange, Lexis has agreed to limit the price it may charge for the OCGA and to make an unannotated version of the statutory text available to the public online for free. A hard copy of the complete OCGA currently retails for $412.00.</w:t>
      </w:r>
    </w:p>
    <w:p w14:paraId="6F59B021" w14:textId="77777777"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bookmarkStart w:id="129" w:name="co_anchor_I6fba8081b6b911eaa4c6fcfe61768"/>
      <w:bookmarkEnd w:id="129"/>
      <w:r w:rsidRPr="00E50689">
        <w:rPr>
          <w:rFonts w:ascii="Californian FB" w:hAnsi="Californian FB" w:cs="Times New Roman"/>
          <w:color w:val="000000"/>
          <w:sz w:val="24"/>
          <w:szCs w:val="24"/>
        </w:rPr>
        <w:t>B</w:t>
      </w:r>
    </w:p>
    <w:p w14:paraId="5EC6CFE8"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roofErr w:type="gramStart"/>
      <w:r w:rsidRPr="00E50689">
        <w:rPr>
          <w:rFonts w:ascii="Californian FB" w:hAnsi="Californian FB" w:cs="Times New Roman"/>
          <w:color w:val="000000"/>
          <w:sz w:val="24"/>
          <w:szCs w:val="24"/>
        </w:rPr>
        <w:t>Public.Resource.Org</w:t>
      </w:r>
      <w:proofErr w:type="gramEnd"/>
      <w:r w:rsidRPr="00E50689">
        <w:rPr>
          <w:rFonts w:ascii="Californian FB" w:hAnsi="Californian FB" w:cs="Times New Roman"/>
          <w:color w:val="000000"/>
          <w:sz w:val="24"/>
          <w:szCs w:val="24"/>
        </w:rPr>
        <w:t xml:space="preserve"> (PRO) is a nonprofit organization that aims to facilitate public access to government records and legal materials. Without permission, PRO posted a digital version of the OCGA on various websites, where it could be downloaded by the public without charge. PRO also distributed copies of the OCGA to various organizations and Georgia officials.</w:t>
      </w:r>
    </w:p>
    <w:p w14:paraId="0C22E31B"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316F44E6" w14:textId="39CBFD85"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In response, the Commission sent PRO several cease-and-desist letters asserting that PRO’s actions constituted unlawful copyright infringement. When PRO refused to halt its distribution activities, the Commission sued PRO on behalf of the Georgia Legislature and the State of Georgia for copyright infringement. The Commission limited its assertion of copyright to the annotations described above; it did not claim copyright in the statutory text or numbering. PRO counterclaimed, seeking a declaratory judgment that the entire OCGA, including the annotations, fell in the public domain.</w:t>
      </w:r>
    </w:p>
    <w:p w14:paraId="14B2E6FA" w14:textId="4B83F3F1"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2E53B9DF" w14:textId="3FC66583"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The District Court </w:t>
      </w:r>
      <w:r>
        <w:rPr>
          <w:rFonts w:ascii="Californian FB" w:hAnsi="Californian FB" w:cs="Times New Roman"/>
          <w:color w:val="000000"/>
          <w:sz w:val="24"/>
          <w:szCs w:val="24"/>
        </w:rPr>
        <w:t xml:space="preserve">. . . </w:t>
      </w:r>
      <w:r w:rsidRPr="00E50689">
        <w:rPr>
          <w:rFonts w:ascii="Californian FB" w:hAnsi="Californian FB" w:cs="Times New Roman"/>
          <w:color w:val="000000"/>
          <w:sz w:val="24"/>
          <w:szCs w:val="24"/>
        </w:rPr>
        <w:t xml:space="preserve">concluded that the annotations were eligible for copyright protection because they were “not enacted into law” and lacked “the force of law.” </w:t>
      </w:r>
      <w:r>
        <w:rPr>
          <w:rFonts w:ascii="Californian FB" w:hAnsi="Californian FB" w:cs="Times New Roman"/>
          <w:color w:val="000000"/>
          <w:sz w:val="24"/>
          <w:szCs w:val="24"/>
        </w:rPr>
        <w:t>I</w:t>
      </w:r>
      <w:r w:rsidRPr="00E50689">
        <w:rPr>
          <w:rFonts w:ascii="Californian FB" w:hAnsi="Californian FB" w:cs="Times New Roman"/>
          <w:color w:val="000000"/>
          <w:sz w:val="24"/>
          <w:szCs w:val="24"/>
        </w:rPr>
        <w:t xml:space="preserve">n light of that conclusion, the Court granted partial summary judgment to the Commission and entered a permanent </w:t>
      </w:r>
      <w:r w:rsidRPr="00E50689">
        <w:rPr>
          <w:rFonts w:ascii="Californian FB" w:hAnsi="Californian FB" w:cs="Times New Roman"/>
          <w:color w:val="000000"/>
          <w:sz w:val="24"/>
          <w:szCs w:val="24"/>
        </w:rPr>
        <w:lastRenderedPageBreak/>
        <w:t>injunction requiring PRO to cease its distribution activities and to remove the digital copies of the OCGA from the internet.</w:t>
      </w:r>
    </w:p>
    <w:p w14:paraId="5D0E6A90" w14:textId="1336ED16"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0D1B0C41" w14:textId="6D77EB13"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The Eleventh Circuit reversed</w:t>
      </w:r>
      <w:proofErr w:type="gramStart"/>
      <w:r w:rsidRPr="00E50689">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r w:rsidRPr="00E50689">
        <w:rPr>
          <w:rFonts w:ascii="Californian FB" w:hAnsi="Californian FB" w:cs="Times New Roman"/>
          <w:color w:val="000000"/>
          <w:sz w:val="24"/>
          <w:szCs w:val="24"/>
        </w:rPr>
        <w:t xml:space="preserve"> In a democracy, the Court reasoned, “the People” are “the constructive authors” of the law, and judges and legislators are merely “draftsmen ... exercising delegated authority.” </w:t>
      </w:r>
      <w:r>
        <w:rPr>
          <w:rFonts w:ascii="Californian FB" w:hAnsi="Californian FB" w:cs="Times New Roman"/>
          <w:color w:val="000000"/>
          <w:sz w:val="24"/>
          <w:szCs w:val="24"/>
        </w:rPr>
        <w:t>Th</w:t>
      </w:r>
      <w:r w:rsidRPr="00E50689">
        <w:rPr>
          <w:rFonts w:ascii="Californian FB" w:hAnsi="Californian FB" w:cs="Times New Roman"/>
          <w:color w:val="000000"/>
          <w:sz w:val="24"/>
          <w:szCs w:val="24"/>
        </w:rPr>
        <w:t>e Court therefore deemed the “ultimate inquiry” to be whether a work is “attributable to the constructive authorship of the People.” The Court identified three factors to guide that inquiry: “the identity of the public official who created the work; the nature of the work; and the process by which the work was produced.” The Court found that each of those factors cut in favor of treating the OCGA annotations as government edicts authored by the People. It therefore rejected the Commission’s assertion of copyright, vacated the injunction against PRO, and directed that judgment be entered for PRO.</w:t>
      </w:r>
    </w:p>
    <w:p w14:paraId="61B1C957" w14:textId="5C99550E"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bookmarkStart w:id="130" w:name="co_anchor_I6fbe5111b6b911eaa4c6fcfe61768"/>
      <w:bookmarkEnd w:id="130"/>
      <w:r w:rsidRPr="00E50689">
        <w:rPr>
          <w:rFonts w:ascii="Californian FB" w:hAnsi="Californian FB" w:cs="Times New Roman"/>
          <w:color w:val="000000"/>
          <w:sz w:val="24"/>
          <w:szCs w:val="24"/>
        </w:rPr>
        <w:t>II</w:t>
      </w:r>
    </w:p>
    <w:p w14:paraId="7C86037D" w14:textId="1C23C705"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31" w:name="co_anchor_B32050840643_1"/>
      <w:bookmarkEnd w:id="131"/>
      <w:r w:rsidRPr="00E50689">
        <w:rPr>
          <w:rFonts w:ascii="Californian FB" w:hAnsi="Californian FB" w:cs="Times New Roman"/>
          <w:color w:val="000000"/>
          <w:sz w:val="24"/>
          <w:szCs w:val="24"/>
        </w:rPr>
        <w:t>We hold that the annotations in Georgia’s Official Code are ineligible for copyright protection, though for reasons distinct from those relied on by the Court of Appeals. A careful examination of our government edicts precedents reveals a straightforward rule based on the identity of the author. Under the government edicts doctrine, judges—and, we now confirm, legislators—may not be considered the “authors” of the works they produce in the course of their official duties as judges and legislators. That rule applies regardless of whether a given material carries the force of law. And it applies to the annotations here because they are authored by an arm of the legislature in the course of its official duties.</w:t>
      </w:r>
    </w:p>
    <w:p w14:paraId="3C40E066" w14:textId="289F86D0"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bookmarkStart w:id="132" w:name="co_anchor_I6fbeed51b6b911eaa4c6fcfe61768"/>
      <w:bookmarkEnd w:id="132"/>
      <w:r w:rsidRPr="00E50689">
        <w:rPr>
          <w:rFonts w:ascii="Californian FB" w:hAnsi="Californian FB" w:cs="Times New Roman"/>
          <w:color w:val="000000"/>
          <w:sz w:val="24"/>
          <w:szCs w:val="24"/>
        </w:rPr>
        <w:t>A</w:t>
      </w:r>
    </w:p>
    <w:p w14:paraId="1FED8AFD" w14:textId="4B9F2400" w:rsidR="00260C60" w:rsidRPr="00E50689" w:rsidRDefault="001C63A2"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36525D">
        <w:rPr>
          <w:rFonts w:ascii="Californian FB" w:hAnsi="Californian FB" w:cs="Times New Roman"/>
          <w:noProof/>
          <w:color w:val="000000"/>
          <w:sz w:val="24"/>
          <w:szCs w:val="24"/>
        </w:rPr>
        <mc:AlternateContent>
          <mc:Choice Requires="wps">
            <w:drawing>
              <wp:anchor distT="45720" distB="45720" distL="114300" distR="114300" simplePos="0" relativeHeight="251705344" behindDoc="0" locked="0" layoutInCell="1" allowOverlap="1" wp14:anchorId="3A1A9B62" wp14:editId="24720DB1">
                <wp:simplePos x="0" y="0"/>
                <wp:positionH relativeFrom="column">
                  <wp:posOffset>3265986</wp:posOffset>
                </wp:positionH>
                <wp:positionV relativeFrom="page">
                  <wp:posOffset>5036004</wp:posOffset>
                </wp:positionV>
                <wp:extent cx="2670810" cy="3604895"/>
                <wp:effectExtent l="0" t="0" r="15240" b="146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3604895"/>
                        </a:xfrm>
                        <a:prstGeom prst="rect">
                          <a:avLst/>
                        </a:prstGeom>
                        <a:solidFill>
                          <a:schemeClr val="accent1">
                            <a:lumMod val="40000"/>
                            <a:lumOff val="60000"/>
                          </a:schemeClr>
                        </a:solidFill>
                        <a:ln w="9525">
                          <a:solidFill>
                            <a:srgbClr val="000000"/>
                          </a:solidFill>
                          <a:miter lim="800000"/>
                          <a:headEnd/>
                          <a:tailEnd/>
                        </a:ln>
                      </wps:spPr>
                      <wps:txbx>
                        <w:txbxContent>
                          <w:p w14:paraId="3D6C87EE" w14:textId="77777777" w:rsidR="00C747A6" w:rsidRPr="005D0FED" w:rsidRDefault="00C747A6" w:rsidP="005D0FED">
                            <w:pPr>
                              <w:spacing w:after="0"/>
                              <w:jc w:val="center"/>
                              <w:rPr>
                                <w:rFonts w:ascii="Century Schoolbook" w:hAnsi="Century Schoolbook"/>
                                <w:b/>
                                <w:sz w:val="16"/>
                                <w:szCs w:val="16"/>
                              </w:rPr>
                            </w:pPr>
                          </w:p>
                          <w:p w14:paraId="6BF75B4C" w14:textId="10EBB431" w:rsidR="00C747A6" w:rsidRPr="00F42C3E" w:rsidRDefault="00C747A6" w:rsidP="0036525D">
                            <w:pPr>
                              <w:jc w:val="center"/>
                              <w:rPr>
                                <w:rFonts w:ascii="Century Schoolbook" w:hAnsi="Century Schoolbook"/>
                                <w:b/>
                              </w:rPr>
                            </w:pPr>
                            <w:r w:rsidRPr="00F42C3E">
                              <w:rPr>
                                <w:rFonts w:ascii="Century Schoolbook" w:hAnsi="Century Schoolbook"/>
                                <w:b/>
                              </w:rPr>
                              <w:t>MAKE THE CONNECTION</w:t>
                            </w:r>
                          </w:p>
                          <w:p w14:paraId="55459F2D" w14:textId="7AF0C775" w:rsidR="00C747A6" w:rsidRDefault="00C747A6" w:rsidP="003C5EB8">
                            <w:pPr>
                              <w:jc w:val="both"/>
                            </w:pPr>
                            <w:r>
                              <w:rPr>
                                <w:rFonts w:ascii="Californian FB" w:hAnsi="Californian FB"/>
                                <w:sz w:val="20"/>
                                <w:szCs w:val="20"/>
                              </w:rPr>
                              <w:t xml:space="preserve">You may recall that </w:t>
                            </w:r>
                            <w:r>
                              <w:rPr>
                                <w:rFonts w:ascii="Californian FB" w:hAnsi="Californian FB"/>
                                <w:i/>
                                <w:iCs/>
                                <w:sz w:val="20"/>
                                <w:szCs w:val="20"/>
                              </w:rPr>
                              <w:t xml:space="preserve">Wheaton v. Peters </w:t>
                            </w:r>
                            <w:r>
                              <w:rPr>
                                <w:rFonts w:ascii="Californian FB" w:hAnsi="Californian FB"/>
                                <w:sz w:val="20"/>
                                <w:szCs w:val="20"/>
                              </w:rPr>
                              <w:t>appears as a principal case at the beginning of Chapter 7, on p. 500 in the main volume. There, we focused on the Court’s analysis of the relationship between common-law copyright, which it held ended with publication, and federal copyright, which it held could be acquired only by complying with a series of formalities. It reached those issues because Wheaton claimed copyright in annotations that he himself had written, such as summaries of the attorneys’ arguments. Here, we learn that Wheaton also argued that the Justices had tacitly assigned copyright in their opinions to him.  At the time of the oral argument, five of the seven Justices on the Court had served while Wheaton was reporter, and hence were the very Justices who Wheaton was arguing had silently given him copyright in their opinions.  Awkward?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A9B62" id="_x0000_s1039" type="#_x0000_t202" style="position:absolute;left:0;text-align:left;margin-left:257.15pt;margin-top:396.55pt;width:210.3pt;height:283.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" fillcolor="#bdd6ee [1300]">
                <v:textbox>
                  <w:txbxContent>
                    <w:p w14:paraId="3D6C87EE" w14:textId="77777777" w:rsidR="00C747A6" w:rsidRPr="005D0FED" w:rsidRDefault="00C747A6" w:rsidP="005D0FED">
                      <w:pPr>
                        <w:spacing w:after="0"/>
                        <w:jc w:val="center"/>
                        <w:rPr>
                          <w:rFonts w:ascii="Century Schoolbook" w:hAnsi="Century Schoolbook"/>
                          <w:b/>
                          <w:sz w:val="16"/>
                          <w:szCs w:val="16"/>
                        </w:rPr>
                      </w:pPr>
                    </w:p>
                    <w:p w14:paraId="6BF75B4C" w14:textId="10EBB431" w:rsidR="00C747A6" w:rsidRPr="00F42C3E" w:rsidRDefault="00C747A6" w:rsidP="0036525D">
                      <w:pPr>
                        <w:jc w:val="center"/>
                        <w:rPr>
                          <w:rFonts w:ascii="Century Schoolbook" w:hAnsi="Century Schoolbook"/>
                          <w:b/>
                        </w:rPr>
                      </w:pPr>
                      <w:r w:rsidRPr="00F42C3E">
                        <w:rPr>
                          <w:rFonts w:ascii="Century Schoolbook" w:hAnsi="Century Schoolbook"/>
                          <w:b/>
                        </w:rPr>
                        <w:t>MAKE THE CONNECTION</w:t>
                      </w:r>
                    </w:p>
                    <w:p w14:paraId="55459F2D" w14:textId="7AF0C775" w:rsidR="00C747A6" w:rsidRDefault="00C747A6" w:rsidP="003C5EB8">
                      <w:pPr>
                        <w:jc w:val="both"/>
                      </w:pPr>
                      <w:r>
                        <w:rPr>
                          <w:rFonts w:ascii="Californian FB" w:hAnsi="Californian FB"/>
                          <w:sz w:val="20"/>
                          <w:szCs w:val="20"/>
                        </w:rPr>
                        <w:t xml:space="preserve">You may recall that </w:t>
                      </w:r>
                      <w:r>
                        <w:rPr>
                          <w:rFonts w:ascii="Californian FB" w:hAnsi="Californian FB"/>
                          <w:i/>
                          <w:iCs/>
                          <w:sz w:val="20"/>
                          <w:szCs w:val="20"/>
                        </w:rPr>
                        <w:t xml:space="preserve">Wheaton v. Peters </w:t>
                      </w:r>
                      <w:r>
                        <w:rPr>
                          <w:rFonts w:ascii="Californian FB" w:hAnsi="Californian FB"/>
                          <w:sz w:val="20"/>
                          <w:szCs w:val="20"/>
                        </w:rPr>
                        <w:t>appears as a principal case at the beginning of Chapter 7, on p. 500 in the main volume. There, we focused on the Court’s analysis of the relationship between common-law copyright, which it held ended with publication, and federal copyright, which it held could be acquired only by complying with a series of formalities. It reached those issues because Wheaton claimed copyright in annotations that he himself had written, such as summaries of the attorneys’ arguments. Here, we learn that Wheaton also argued that the Justices had tacitly assigned copyright in their opinions to him.  At the time of the oral argument, five of the seven Justices on the Court had served while Wheaton was reporter, and hence were the very Justices who Wheaton was arguing had silently given him copyright in their opinions.  Awkward?</w:t>
                      </w:r>
                    </w:p>
                  </w:txbxContent>
                </v:textbox>
                <w10:wrap type="square" anchory="page"/>
              </v:shape>
            </w:pict>
          </mc:Fallback>
        </mc:AlternateContent>
      </w:r>
      <w:r w:rsidR="00260C60" w:rsidRPr="00E50689">
        <w:rPr>
          <w:rFonts w:ascii="Californian FB" w:hAnsi="Californian FB" w:cs="Times New Roman"/>
          <w:color w:val="000000"/>
          <w:sz w:val="24"/>
          <w:szCs w:val="24"/>
        </w:rPr>
        <w:t xml:space="preserve">We begin with precedent. The government edicts doctrine traces back to a trio of cases decided in the 19th century. In this Court’s first copyright case, </w:t>
      </w:r>
      <w:hyperlink r:id="rId192" w:history="1">
        <w:r w:rsidR="00260C60" w:rsidRPr="0036525D">
          <w:rPr>
            <w:rFonts w:ascii="Californian FB" w:hAnsi="Californian FB" w:cs="Times New Roman"/>
            <w:i/>
            <w:iCs/>
            <w:color w:val="000000"/>
            <w:sz w:val="24"/>
            <w:szCs w:val="24"/>
          </w:rPr>
          <w:t>Wheaton v. Peters</w:t>
        </w:r>
        <w:r w:rsidR="00260C60" w:rsidRPr="0036525D">
          <w:rPr>
            <w:rFonts w:ascii="Californian FB" w:hAnsi="Californian FB" w:cs="Times New Roman"/>
            <w:color w:val="000000"/>
            <w:sz w:val="24"/>
            <w:szCs w:val="24"/>
          </w:rPr>
          <w:t xml:space="preserve">, 8 Pet. 591, 8 </w:t>
        </w:r>
        <w:proofErr w:type="spellStart"/>
        <w:r w:rsidR="00260C60" w:rsidRPr="0036525D">
          <w:rPr>
            <w:rFonts w:ascii="Californian FB" w:hAnsi="Californian FB" w:cs="Times New Roman"/>
            <w:color w:val="000000"/>
            <w:sz w:val="24"/>
            <w:szCs w:val="24"/>
          </w:rPr>
          <w:t>L.Ed</w:t>
        </w:r>
        <w:proofErr w:type="spellEnd"/>
        <w:r w:rsidR="00260C60" w:rsidRPr="0036525D">
          <w:rPr>
            <w:rFonts w:ascii="Californian FB" w:hAnsi="Californian FB" w:cs="Times New Roman"/>
            <w:color w:val="000000"/>
            <w:sz w:val="24"/>
            <w:szCs w:val="24"/>
          </w:rPr>
          <w:t>. 1055 (1834)</w:t>
        </w:r>
      </w:hyperlink>
      <w:r w:rsidR="00260C60" w:rsidRPr="0036525D">
        <w:rPr>
          <w:rFonts w:ascii="Californian FB" w:hAnsi="Californian FB" w:cs="Times New Roman"/>
          <w:color w:val="000000"/>
          <w:sz w:val="24"/>
          <w:szCs w:val="24"/>
        </w:rPr>
        <w:t>,</w:t>
      </w:r>
      <w:r w:rsidR="00260C60" w:rsidRPr="00E50689">
        <w:rPr>
          <w:rFonts w:ascii="Californian FB" w:hAnsi="Californian FB" w:cs="Times New Roman"/>
          <w:color w:val="000000"/>
          <w:sz w:val="24"/>
          <w:szCs w:val="24"/>
        </w:rPr>
        <w:t xml:space="preserve"> the Court’s third Reporter of Decisions, Wheaton, sued the fourth, Peters, unsuccessfully asserting a copyright interest in the Justices’ opinions. </w:t>
      </w:r>
      <w:hyperlink r:id="rId193" w:anchor="co_pp_sp_780_617" w:history="1">
        <w:r w:rsidR="00260C60" w:rsidRPr="00E50689">
          <w:rPr>
            <w:rFonts w:ascii="Californian FB" w:hAnsi="Californian FB" w:cs="Times New Roman"/>
            <w:i/>
            <w:iCs/>
            <w:color w:val="000000"/>
            <w:sz w:val="24"/>
            <w:szCs w:val="24"/>
          </w:rPr>
          <w:t>Id.</w:t>
        </w:r>
        <w:r w:rsidR="00260C60" w:rsidRPr="00E50689">
          <w:rPr>
            <w:rFonts w:ascii="Californian FB" w:hAnsi="Californian FB" w:cs="Times New Roman"/>
            <w:color w:val="000000"/>
            <w:sz w:val="24"/>
            <w:szCs w:val="24"/>
          </w:rPr>
          <w:t>, at 617</w:t>
        </w:r>
      </w:hyperlink>
      <w:r w:rsidR="00260C60" w:rsidRPr="00E50689">
        <w:rPr>
          <w:rFonts w:ascii="Californian FB" w:hAnsi="Californian FB" w:cs="Times New Roman"/>
          <w:color w:val="000000"/>
          <w:sz w:val="24"/>
          <w:szCs w:val="24"/>
        </w:rPr>
        <w:t xml:space="preserve"> (argument). In Wheaton’s view, the opinions “must have belonged to </w:t>
      </w:r>
      <w:proofErr w:type="spellStart"/>
      <w:r w:rsidR="00260C60" w:rsidRPr="00E50689">
        <w:rPr>
          <w:rFonts w:ascii="Californian FB" w:hAnsi="Californian FB" w:cs="Times New Roman"/>
          <w:color w:val="000000"/>
          <w:sz w:val="24"/>
          <w:szCs w:val="24"/>
        </w:rPr>
        <w:t>some one</w:t>
      </w:r>
      <w:proofErr w:type="spellEnd"/>
      <w:r w:rsidR="00260C60" w:rsidRPr="00E50689">
        <w:rPr>
          <w:rFonts w:ascii="Californian FB" w:hAnsi="Californian FB" w:cs="Times New Roman"/>
          <w:color w:val="000000"/>
          <w:sz w:val="24"/>
          <w:szCs w:val="24"/>
        </w:rPr>
        <w:t xml:space="preserve">” because “they were new, original,” and much more “elaborate” than law or custom required. </w:t>
      </w:r>
      <w:hyperlink r:id="rId194" w:anchor="co_pp_sp_780_615" w:history="1">
        <w:r w:rsidR="00260C60" w:rsidRPr="00E50689">
          <w:rPr>
            <w:rFonts w:ascii="Californian FB" w:hAnsi="Californian FB" w:cs="Times New Roman"/>
            <w:i/>
            <w:iCs/>
            <w:color w:val="000000"/>
            <w:sz w:val="24"/>
            <w:szCs w:val="24"/>
          </w:rPr>
          <w:t>Id.</w:t>
        </w:r>
        <w:r w:rsidR="00260C60" w:rsidRPr="00E50689">
          <w:rPr>
            <w:rFonts w:ascii="Californian FB" w:hAnsi="Californian FB" w:cs="Times New Roman"/>
            <w:color w:val="000000"/>
            <w:sz w:val="24"/>
            <w:szCs w:val="24"/>
          </w:rPr>
          <w:t>, at 615</w:t>
        </w:r>
      </w:hyperlink>
      <w:r w:rsidR="00260C60" w:rsidRPr="00E50689">
        <w:rPr>
          <w:rFonts w:ascii="Californian FB" w:hAnsi="Californian FB" w:cs="Times New Roman"/>
          <w:color w:val="000000"/>
          <w:sz w:val="24"/>
          <w:szCs w:val="24"/>
        </w:rPr>
        <w:t xml:space="preserve">. Wheaton argued that the Justices were the authors and had assigned their ownership interests to him through a tacit “gift.” </w:t>
      </w:r>
      <w:hyperlink r:id="rId195" w:anchor="co_pp_sp_780_614" w:history="1">
        <w:r w:rsidR="00260C60" w:rsidRPr="00E50689">
          <w:rPr>
            <w:rFonts w:ascii="Californian FB" w:hAnsi="Californian FB" w:cs="Times New Roman"/>
            <w:i/>
            <w:iCs/>
            <w:color w:val="000000"/>
            <w:sz w:val="24"/>
            <w:szCs w:val="24"/>
          </w:rPr>
          <w:t>Id.</w:t>
        </w:r>
        <w:r w:rsidR="00260C60" w:rsidRPr="00E50689">
          <w:rPr>
            <w:rFonts w:ascii="Californian FB" w:hAnsi="Californian FB" w:cs="Times New Roman"/>
            <w:color w:val="000000"/>
            <w:sz w:val="24"/>
            <w:szCs w:val="24"/>
          </w:rPr>
          <w:t>, at 614</w:t>
        </w:r>
      </w:hyperlink>
      <w:r w:rsidR="00260C60" w:rsidRPr="00E50689">
        <w:rPr>
          <w:rFonts w:ascii="Californian FB" w:hAnsi="Californian FB" w:cs="Times New Roman"/>
          <w:color w:val="000000"/>
          <w:sz w:val="24"/>
          <w:szCs w:val="24"/>
        </w:rPr>
        <w:t xml:space="preserve">. The Court unanimously rejected that argument, concluding that “no reporter has or can have any copyright in the written opinions delivered by this court” and that “the judges thereof cannot confer on any reporter any such right.” </w:t>
      </w:r>
      <w:hyperlink r:id="rId196" w:anchor="co_pp_sp_780_668" w:history="1">
        <w:r w:rsidR="00260C60" w:rsidRPr="00E50689">
          <w:rPr>
            <w:rFonts w:ascii="Californian FB" w:hAnsi="Californian FB" w:cs="Times New Roman"/>
            <w:i/>
            <w:iCs/>
            <w:color w:val="000000"/>
            <w:sz w:val="24"/>
            <w:szCs w:val="24"/>
          </w:rPr>
          <w:t>Id.</w:t>
        </w:r>
        <w:r w:rsidR="00260C60" w:rsidRPr="00E50689">
          <w:rPr>
            <w:rFonts w:ascii="Californian FB" w:hAnsi="Californian FB" w:cs="Times New Roman"/>
            <w:color w:val="000000"/>
            <w:sz w:val="24"/>
            <w:szCs w:val="24"/>
          </w:rPr>
          <w:t>, at 668</w:t>
        </w:r>
      </w:hyperlink>
      <w:r w:rsidR="00260C60" w:rsidRPr="00E50689">
        <w:rPr>
          <w:rFonts w:ascii="Californian FB" w:hAnsi="Californian FB" w:cs="Times New Roman"/>
          <w:color w:val="000000"/>
          <w:sz w:val="24"/>
          <w:szCs w:val="24"/>
        </w:rPr>
        <w:t xml:space="preserve"> (opinion).</w:t>
      </w:r>
    </w:p>
    <w:p w14:paraId="76F9CEE5" w14:textId="34B7B76E"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8830FDD" w14:textId="6506A970"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That conclusion apparently seemed too obvious to adorn with further explanation, but the Court provided one a half century later in </w:t>
      </w:r>
      <w:hyperlink r:id="rId197" w:history="1">
        <w:r w:rsidRPr="00E50689">
          <w:rPr>
            <w:rFonts w:ascii="Californian FB" w:hAnsi="Californian FB" w:cs="Times New Roman"/>
            <w:i/>
            <w:iCs/>
            <w:color w:val="000000"/>
            <w:sz w:val="24"/>
            <w:szCs w:val="24"/>
          </w:rPr>
          <w:t>Banks v. Manchester</w:t>
        </w:r>
        <w:r w:rsidRPr="00E50689">
          <w:rPr>
            <w:rFonts w:ascii="Californian FB" w:hAnsi="Californian FB" w:cs="Times New Roman"/>
            <w:color w:val="000000"/>
            <w:sz w:val="24"/>
            <w:szCs w:val="24"/>
          </w:rPr>
          <w:t xml:space="preserve">, 128 U.S. 244,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36, 32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425 (1888)</w:t>
        </w:r>
      </w:hyperlink>
      <w:r w:rsidRPr="00E50689">
        <w:rPr>
          <w:rFonts w:ascii="Californian FB" w:hAnsi="Californian FB" w:cs="Times New Roman"/>
          <w:color w:val="000000"/>
          <w:sz w:val="24"/>
          <w:szCs w:val="24"/>
        </w:rPr>
        <w:t xml:space="preserve">. That case concerned whether Wheaton’s </w:t>
      </w:r>
      <w:r w:rsidRPr="00E50689">
        <w:rPr>
          <w:rFonts w:ascii="Californian FB" w:hAnsi="Californian FB" w:cs="Times New Roman"/>
          <w:color w:val="000000"/>
          <w:sz w:val="24"/>
          <w:szCs w:val="24"/>
        </w:rPr>
        <w:lastRenderedPageBreak/>
        <w:t xml:space="preserve">state-court counterpart, the official reporter of the Ohio Supreme Court, held a copyright in the judges’ opinions and several non-binding explanatory materials prepared by the judges. </w:t>
      </w:r>
      <w:hyperlink r:id="rId198" w:history="1">
        <w:r w:rsidRPr="00E50689">
          <w:rPr>
            <w:rFonts w:ascii="Californian FB" w:hAnsi="Californian FB" w:cs="Times New Roman"/>
            <w:i/>
            <w:iCs/>
            <w:color w:val="000000"/>
            <w:sz w:val="24"/>
            <w:szCs w:val="24"/>
          </w:rPr>
          <w:t>Id.</w:t>
        </w:r>
        <w:r w:rsidRPr="00E50689">
          <w:rPr>
            <w:rFonts w:ascii="Californian FB" w:hAnsi="Californian FB" w:cs="Times New Roman"/>
            <w:color w:val="000000"/>
            <w:sz w:val="24"/>
            <w:szCs w:val="24"/>
          </w:rPr>
          <w:t xml:space="preserve">, at 249–251,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The Court concluded that he did not, explaining that “the judge who, in his judicial capacity, prepares the opinion or decision, the statement of the case and the syllabus or head note” cannot “be regarded as their author or their proprietor, in the sense of [the Copyright Act].” </w:t>
      </w:r>
      <w:hyperlink r:id="rId199" w:history="1">
        <w:r w:rsidRPr="00E50689">
          <w:rPr>
            <w:rFonts w:ascii="Californian FB" w:hAnsi="Californian FB" w:cs="Times New Roman"/>
            <w:i/>
            <w:iCs/>
            <w:color w:val="000000"/>
            <w:sz w:val="24"/>
            <w:szCs w:val="24"/>
          </w:rPr>
          <w:t>Id.</w:t>
        </w:r>
        <w:r w:rsidRPr="00E50689">
          <w:rPr>
            <w:rFonts w:ascii="Californian FB" w:hAnsi="Californian FB" w:cs="Times New Roman"/>
            <w:color w:val="000000"/>
            <w:sz w:val="24"/>
            <w:szCs w:val="24"/>
          </w:rPr>
          <w:t xml:space="preserve">,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Pursuant to “a judicial </w:t>
      </w:r>
      <w:r w:rsidRPr="00E50689">
        <w:rPr>
          <w:rFonts w:ascii="Californian FB" w:hAnsi="Californian FB" w:cs="Times New Roman"/>
          <w:i/>
          <w:iCs/>
          <w:color w:val="000000"/>
          <w:sz w:val="24"/>
          <w:szCs w:val="24"/>
        </w:rPr>
        <w:t>consensus</w:t>
      </w:r>
      <w:r w:rsidRPr="00E50689">
        <w:rPr>
          <w:rFonts w:ascii="Californian FB" w:hAnsi="Californian FB" w:cs="Times New Roman"/>
          <w:color w:val="000000"/>
          <w:sz w:val="24"/>
          <w:szCs w:val="24"/>
        </w:rPr>
        <w:t xml:space="preserve">” dating back to </w:t>
      </w:r>
      <w:hyperlink r:id="rId200" w:history="1">
        <w:r w:rsidRPr="00E50689">
          <w:rPr>
            <w:rFonts w:ascii="Californian FB" w:hAnsi="Californian FB" w:cs="Times New Roman"/>
            <w:i/>
            <w:iCs/>
            <w:color w:val="000000"/>
            <w:sz w:val="24"/>
            <w:szCs w:val="24"/>
          </w:rPr>
          <w:t>Wheaton</w:t>
        </w:r>
      </w:hyperlink>
      <w:r w:rsidRPr="00E50689">
        <w:rPr>
          <w:rFonts w:ascii="Californian FB" w:hAnsi="Californian FB" w:cs="Times New Roman"/>
          <w:color w:val="000000"/>
          <w:sz w:val="24"/>
          <w:szCs w:val="24"/>
        </w:rPr>
        <w:t xml:space="preserve">, judges could not assert copyright in “whatever work they perform in their capacity as judges.” </w:t>
      </w:r>
      <w:hyperlink r:id="rId201"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(emphasis in original). Rather, “[t]he </w:t>
      </w:r>
      <w:bookmarkStart w:id="133" w:name="co_pp_sp_708_1507_1"/>
      <w:bookmarkEnd w:id="133"/>
      <w:r w:rsidRPr="00E50689">
        <w:rPr>
          <w:rFonts w:ascii="Californian FB" w:hAnsi="Californian FB" w:cs="Times New Roman"/>
          <w:color w:val="000000"/>
          <w:sz w:val="24"/>
          <w:szCs w:val="24"/>
        </w:rPr>
        <w:t xml:space="preserve">whole work done by the judges constitutes the authentic exposition and interpretation of the law, which, binding every citizen, is free for publication to all.” </w:t>
      </w:r>
      <w:hyperlink r:id="rId202" w:history="1">
        <w:r w:rsidRPr="00E50689">
          <w:rPr>
            <w:rFonts w:ascii="Californian FB" w:hAnsi="Californian FB" w:cs="Times New Roman"/>
            <w:i/>
            <w:iCs/>
            <w:color w:val="000000"/>
            <w:sz w:val="24"/>
            <w:szCs w:val="24"/>
          </w:rPr>
          <w:t xml:space="preserve">Ibid. </w:t>
        </w:r>
      </w:hyperlink>
      <w:r w:rsidRPr="00E50689">
        <w:rPr>
          <w:rFonts w:ascii="Californian FB" w:hAnsi="Californian FB" w:cs="Times New Roman"/>
          <w:color w:val="000000"/>
          <w:sz w:val="24"/>
          <w:szCs w:val="24"/>
        </w:rPr>
        <w:t xml:space="preserve">(citing </w:t>
      </w:r>
      <w:hyperlink r:id="rId203" w:history="1">
        <w:r w:rsidRPr="00E50689">
          <w:rPr>
            <w:rFonts w:ascii="Californian FB" w:hAnsi="Californian FB" w:cs="Times New Roman"/>
            <w:i/>
            <w:iCs/>
            <w:color w:val="000000"/>
            <w:sz w:val="24"/>
            <w:szCs w:val="24"/>
          </w:rPr>
          <w:t>Nash v. Lathrop</w:t>
        </w:r>
        <w:r w:rsidRPr="00E50689">
          <w:rPr>
            <w:rFonts w:ascii="Californian FB" w:hAnsi="Californian FB" w:cs="Times New Roman"/>
            <w:color w:val="000000"/>
            <w:sz w:val="24"/>
            <w:szCs w:val="24"/>
          </w:rPr>
          <w:t>, 142 Mass. 29, 6 N.E. 559 (1886)</w:t>
        </w:r>
      </w:hyperlink>
      <w:r w:rsidRPr="00E50689">
        <w:rPr>
          <w:rFonts w:ascii="Californian FB" w:hAnsi="Californian FB" w:cs="Times New Roman"/>
          <w:color w:val="000000"/>
          <w:sz w:val="24"/>
          <w:szCs w:val="24"/>
        </w:rPr>
        <w:t>).</w:t>
      </w:r>
    </w:p>
    <w:p w14:paraId="0704880D"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53E40A60" w14:textId="0EF8340D"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In a companion case decided later that Term, </w:t>
      </w:r>
      <w:hyperlink r:id="rId204" w:history="1">
        <w:r w:rsidRPr="00E50689">
          <w:rPr>
            <w:rFonts w:ascii="Californian FB" w:hAnsi="Californian FB" w:cs="Times New Roman"/>
            <w:i/>
            <w:iCs/>
            <w:color w:val="000000"/>
            <w:sz w:val="24"/>
            <w:szCs w:val="24"/>
          </w:rPr>
          <w:t>Callaghan v. Myers</w:t>
        </w:r>
        <w:r w:rsidRPr="00E50689">
          <w:rPr>
            <w:rFonts w:ascii="Californian FB" w:hAnsi="Californian FB" w:cs="Times New Roman"/>
            <w:color w:val="000000"/>
            <w:sz w:val="24"/>
            <w:szCs w:val="24"/>
          </w:rPr>
          <w:t xml:space="preserve">, 128 U.S. 617,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177, 32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547 (1888)</w:t>
        </w:r>
      </w:hyperlink>
      <w:r w:rsidRPr="00E50689">
        <w:rPr>
          <w:rFonts w:ascii="Californian FB" w:hAnsi="Californian FB" w:cs="Times New Roman"/>
          <w:color w:val="000000"/>
          <w:sz w:val="24"/>
          <w:szCs w:val="24"/>
        </w:rPr>
        <w:t xml:space="preserve">, the Court identified an important limiting principle. As in </w:t>
      </w:r>
      <w:hyperlink r:id="rId205" w:history="1">
        <w:r w:rsidRPr="00E50689">
          <w:rPr>
            <w:rFonts w:ascii="Californian FB" w:hAnsi="Californian FB" w:cs="Times New Roman"/>
            <w:i/>
            <w:iCs/>
            <w:color w:val="000000"/>
            <w:sz w:val="24"/>
            <w:szCs w:val="24"/>
          </w:rPr>
          <w:t xml:space="preserve">Wheaton </w:t>
        </w:r>
      </w:hyperlink>
      <w:r w:rsidRPr="00E50689">
        <w:rPr>
          <w:rFonts w:ascii="Californian FB" w:hAnsi="Californian FB" w:cs="Times New Roman"/>
          <w:color w:val="000000"/>
          <w:sz w:val="24"/>
          <w:szCs w:val="24"/>
        </w:rPr>
        <w:t xml:space="preserve">and </w:t>
      </w:r>
      <w:hyperlink r:id="rId206"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xml:space="preserve">, the Court rejected the claim that an official reporter held a copyright interest in the judges’ opinions. But, resolving an issue not addressed in </w:t>
      </w:r>
      <w:hyperlink r:id="rId207" w:history="1">
        <w:r w:rsidRPr="00E50689">
          <w:rPr>
            <w:rFonts w:ascii="Californian FB" w:hAnsi="Californian FB" w:cs="Times New Roman"/>
            <w:i/>
            <w:iCs/>
            <w:color w:val="000000"/>
            <w:sz w:val="24"/>
            <w:szCs w:val="24"/>
          </w:rPr>
          <w:t xml:space="preserve">Wheaton </w:t>
        </w:r>
      </w:hyperlink>
      <w:r w:rsidRPr="00E50689">
        <w:rPr>
          <w:rFonts w:ascii="Californian FB" w:hAnsi="Californian FB" w:cs="Times New Roman"/>
          <w:color w:val="000000"/>
          <w:sz w:val="24"/>
          <w:szCs w:val="24"/>
        </w:rPr>
        <w:t xml:space="preserve">and </w:t>
      </w:r>
      <w:hyperlink r:id="rId208"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xml:space="preserve">, the Court upheld the reporter’s copyright interest in several explanatory materials that the reporter had created himself: headnotes, syllabi, tables of contents, and the like. </w:t>
      </w:r>
      <w:hyperlink r:id="rId209" w:anchor="co_pp_sp_780_645" w:history="1">
        <w:r w:rsidRPr="00E50689">
          <w:rPr>
            <w:rFonts w:ascii="Californian FB" w:hAnsi="Californian FB" w:cs="Times New Roman"/>
            <w:i/>
            <w:iCs/>
            <w:color w:val="000000"/>
            <w:sz w:val="24"/>
            <w:szCs w:val="24"/>
          </w:rPr>
          <w:t>Callaghan</w:t>
        </w:r>
        <w:r w:rsidRPr="00E50689">
          <w:rPr>
            <w:rFonts w:ascii="Californian FB" w:hAnsi="Californian FB" w:cs="Times New Roman"/>
            <w:color w:val="000000"/>
            <w:sz w:val="24"/>
            <w:szCs w:val="24"/>
          </w:rPr>
          <w:t xml:space="preserve">, 128 U.S. at 645, 647,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177</w:t>
        </w:r>
      </w:hyperlink>
      <w:r w:rsidRPr="00E50689">
        <w:rPr>
          <w:rFonts w:ascii="Californian FB" w:hAnsi="Californian FB" w:cs="Times New Roman"/>
          <w:color w:val="000000"/>
          <w:sz w:val="24"/>
          <w:szCs w:val="24"/>
        </w:rPr>
        <w:t xml:space="preserve">. Although these works mirrored the judge-made materials rejected in </w:t>
      </w:r>
      <w:hyperlink r:id="rId210"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they came from an author who had no authority to speak with the force of law. Because the reporter was not a judge, he was free to “</w:t>
      </w:r>
      <w:proofErr w:type="gramStart"/>
      <w:r w:rsidRPr="00E50689">
        <w:rPr>
          <w:rFonts w:ascii="Californian FB" w:hAnsi="Californian FB" w:cs="Times New Roman"/>
          <w:color w:val="000000"/>
          <w:sz w:val="24"/>
          <w:szCs w:val="24"/>
        </w:rPr>
        <w:t>obtain[</w:t>
      </w:r>
      <w:proofErr w:type="gramEnd"/>
      <w:r w:rsidRPr="00E50689">
        <w:rPr>
          <w:rFonts w:ascii="Californian FB" w:hAnsi="Californian FB" w:cs="Times New Roman"/>
          <w:color w:val="000000"/>
          <w:sz w:val="24"/>
          <w:szCs w:val="24"/>
        </w:rPr>
        <w:t xml:space="preserve"> ] a copyright” for the materials that were “the result of his [own] intellectual labor.” </w:t>
      </w:r>
      <w:hyperlink r:id="rId211" w:anchor="co_pp_sp_780_647" w:history="1">
        <w:r w:rsidRPr="00E50689">
          <w:rPr>
            <w:rFonts w:ascii="Californian FB" w:hAnsi="Californian FB" w:cs="Times New Roman"/>
            <w:color w:val="000000"/>
            <w:sz w:val="24"/>
            <w:szCs w:val="24"/>
          </w:rPr>
          <w:t xml:space="preserve">128 U.S. at 647,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177</w:t>
        </w:r>
      </w:hyperlink>
      <w:r w:rsidRPr="00E50689">
        <w:rPr>
          <w:rFonts w:ascii="Californian FB" w:hAnsi="Californian FB" w:cs="Times New Roman"/>
          <w:color w:val="000000"/>
          <w:sz w:val="24"/>
          <w:szCs w:val="24"/>
        </w:rPr>
        <w:t>.</w:t>
      </w:r>
    </w:p>
    <w:p w14:paraId="6E6EF2CB"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3165417F" w14:textId="50365FAF"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34" w:name="co_anchor_B52050840643_1"/>
      <w:bookmarkStart w:id="135" w:name="co_anchor_B62050840643_1"/>
      <w:bookmarkEnd w:id="134"/>
      <w:bookmarkEnd w:id="135"/>
      <w:r w:rsidRPr="00E50689">
        <w:rPr>
          <w:rFonts w:ascii="Californian FB" w:hAnsi="Californian FB" w:cs="Times New Roman"/>
          <w:color w:val="000000"/>
          <w:sz w:val="24"/>
          <w:szCs w:val="24"/>
        </w:rPr>
        <w:t xml:space="preserve">These cases establish a straightforward rule: Because judges are vested with the authority to make and interpret the law, they cannot be the “author” of the works they prepare “in the discharge of their judicial duties.” </w:t>
      </w:r>
      <w:hyperlink r:id="rId212"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This rule applies both to binding works (such as opinions) and to non-binding works (such as headnotes and syllabi). </w:t>
      </w:r>
      <w:hyperlink r:id="rId213" w:history="1">
        <w:r w:rsidRPr="00E50689">
          <w:rPr>
            <w:rFonts w:ascii="Californian FB" w:hAnsi="Californian FB" w:cs="Times New Roman"/>
            <w:i/>
            <w:iCs/>
            <w:color w:val="000000"/>
            <w:sz w:val="24"/>
            <w:szCs w:val="24"/>
          </w:rPr>
          <w:t xml:space="preserve">Ibid. </w:t>
        </w:r>
      </w:hyperlink>
      <w:r w:rsidRPr="00E50689">
        <w:rPr>
          <w:rFonts w:ascii="Californian FB" w:hAnsi="Californian FB" w:cs="Times New Roman"/>
          <w:color w:val="000000"/>
          <w:sz w:val="24"/>
          <w:szCs w:val="24"/>
        </w:rPr>
        <w:t xml:space="preserve">It does not apply, however, to works created by government officials (or private parties) who lack the authority to make or interpret the law, such as court reporters. Compare </w:t>
      </w:r>
      <w:hyperlink r:id="rId214" w:history="1">
        <w:r w:rsidRPr="00E50689">
          <w:rPr>
            <w:rFonts w:ascii="Californian FB" w:hAnsi="Californian FB" w:cs="Times New Roman"/>
            <w:i/>
            <w:iCs/>
            <w:color w:val="000000"/>
            <w:sz w:val="24"/>
            <w:szCs w:val="24"/>
          </w:rPr>
          <w:t>ibid.</w:t>
        </w:r>
      </w:hyperlink>
      <w:r w:rsidRPr="00E50689">
        <w:rPr>
          <w:rFonts w:ascii="Californian FB" w:hAnsi="Californian FB" w:cs="Times New Roman"/>
          <w:color w:val="000000"/>
          <w:sz w:val="24"/>
          <w:szCs w:val="24"/>
        </w:rPr>
        <w:t xml:space="preserve"> with </w:t>
      </w:r>
      <w:hyperlink r:id="rId215" w:anchor="co_pp_sp_780_647" w:history="1">
        <w:r w:rsidRPr="00E50689">
          <w:rPr>
            <w:rFonts w:ascii="Californian FB" w:hAnsi="Californian FB" w:cs="Times New Roman"/>
            <w:i/>
            <w:iCs/>
            <w:color w:val="000000"/>
            <w:sz w:val="24"/>
            <w:szCs w:val="24"/>
          </w:rPr>
          <w:t>Callaghan</w:t>
        </w:r>
        <w:r w:rsidRPr="00E50689">
          <w:rPr>
            <w:rFonts w:ascii="Californian FB" w:hAnsi="Californian FB" w:cs="Times New Roman"/>
            <w:color w:val="000000"/>
            <w:sz w:val="24"/>
            <w:szCs w:val="24"/>
          </w:rPr>
          <w:t xml:space="preserve">, 128 U.S. at 647,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177</w:t>
        </w:r>
      </w:hyperlink>
      <w:r w:rsidRPr="00E50689">
        <w:rPr>
          <w:rFonts w:ascii="Californian FB" w:hAnsi="Californian FB" w:cs="Times New Roman"/>
          <w:color w:val="000000"/>
          <w:sz w:val="24"/>
          <w:szCs w:val="24"/>
        </w:rPr>
        <w:t>.</w:t>
      </w:r>
    </w:p>
    <w:p w14:paraId="148E6068"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35154342" w14:textId="6C47475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36" w:name="co_anchor_B72050840643_1"/>
      <w:bookmarkStart w:id="137" w:name="co_anchor_B82050840643_1"/>
      <w:bookmarkStart w:id="138" w:name="co_anchor_B92050840643_1"/>
      <w:bookmarkEnd w:id="136"/>
      <w:bookmarkEnd w:id="137"/>
      <w:bookmarkEnd w:id="138"/>
      <w:r w:rsidRPr="00E50689">
        <w:rPr>
          <w:rFonts w:ascii="Californian FB" w:hAnsi="Californian FB" w:cs="Times New Roman"/>
          <w:color w:val="000000"/>
          <w:sz w:val="24"/>
          <w:szCs w:val="24"/>
        </w:rPr>
        <w:t xml:space="preserve">The animating principle behind this rule is that no one can own the law. “Every citizen is presumed to know the law,” and “it needs no argument to show ... that all should have free access” to its contents. </w:t>
      </w:r>
      <w:hyperlink r:id="rId216" w:anchor="co_pp_sp_577_560" w:history="1">
        <w:r w:rsidRPr="00E50689">
          <w:rPr>
            <w:rFonts w:ascii="Californian FB" w:hAnsi="Californian FB" w:cs="Times New Roman"/>
            <w:i/>
            <w:iCs/>
            <w:color w:val="000000"/>
            <w:sz w:val="24"/>
            <w:szCs w:val="24"/>
          </w:rPr>
          <w:t>Nash</w:t>
        </w:r>
        <w:r w:rsidRPr="00E50689">
          <w:rPr>
            <w:rFonts w:ascii="Californian FB" w:hAnsi="Californian FB" w:cs="Times New Roman"/>
            <w:color w:val="000000"/>
            <w:sz w:val="24"/>
            <w:szCs w:val="24"/>
          </w:rPr>
          <w:t>, 142 Mass. at 35, 6 N.E. at 560</w:t>
        </w:r>
      </w:hyperlink>
      <w:r w:rsidRPr="00E50689">
        <w:rPr>
          <w:rFonts w:ascii="Californian FB" w:hAnsi="Californian FB" w:cs="Times New Roman"/>
          <w:color w:val="000000"/>
          <w:sz w:val="24"/>
          <w:szCs w:val="24"/>
        </w:rPr>
        <w:t xml:space="preserve"> (cited by </w:t>
      </w:r>
      <w:hyperlink r:id="rId217"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253–254,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Our cases give effect to that principle in the copyright context through construction of the statutory term “author.” </w:t>
      </w:r>
      <w:hyperlink r:id="rId218" w:history="1">
        <w:r w:rsidRPr="00E50689">
          <w:rPr>
            <w:rFonts w:ascii="Californian FB" w:hAnsi="Californian FB" w:cs="Times New Roman"/>
            <w:i/>
            <w:iCs/>
            <w:color w:val="000000"/>
            <w:sz w:val="24"/>
            <w:szCs w:val="24"/>
          </w:rPr>
          <w:t>Id.</w:t>
        </w:r>
        <w:r w:rsidRPr="00E50689">
          <w:rPr>
            <w:rFonts w:ascii="Californian FB" w:hAnsi="Californian FB" w:cs="Times New Roman"/>
            <w:color w:val="000000"/>
            <w:sz w:val="24"/>
            <w:szCs w:val="24"/>
          </w:rPr>
          <w:t xml:space="preserve">,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w:t>
      </w:r>
      <w:bookmarkStart w:id="139" w:name="co_fnRef_B00022050840643_ID0EBUAI_1"/>
      <w:bookmarkEnd w:id="139"/>
      <w:r w:rsidRPr="00E50689">
        <w:rPr>
          <w:rFonts w:ascii="Californian FB" w:hAnsi="Californian FB" w:cs="Times New Roman"/>
          <w:color w:val="000000"/>
          <w:sz w:val="24"/>
          <w:szCs w:val="24"/>
        </w:rPr>
        <w:t xml:space="preserve"> Rather than attempting to catalog the materials that constitute “the law,” the doctrine bars the officials responsible for creating the law from being considered the “author[s]” of “</w:t>
      </w:r>
      <w:r w:rsidRPr="00E50689">
        <w:rPr>
          <w:rFonts w:ascii="Californian FB" w:hAnsi="Californian FB" w:cs="Times New Roman"/>
          <w:i/>
          <w:iCs/>
          <w:color w:val="000000"/>
          <w:sz w:val="24"/>
          <w:szCs w:val="24"/>
        </w:rPr>
        <w:t>whatever work</w:t>
      </w:r>
      <w:r w:rsidRPr="00E50689">
        <w:rPr>
          <w:rFonts w:ascii="Californian FB" w:hAnsi="Californian FB" w:cs="Times New Roman"/>
          <w:color w:val="000000"/>
          <w:sz w:val="24"/>
          <w:szCs w:val="24"/>
        </w:rPr>
        <w:t xml:space="preserve"> they perform in their capacity” as lawmakers. </w:t>
      </w:r>
      <w:hyperlink r:id="rId219" w:history="1">
        <w:r w:rsidRPr="00E50689">
          <w:rPr>
            <w:rFonts w:ascii="Californian FB" w:hAnsi="Californian FB" w:cs="Times New Roman"/>
            <w:i/>
            <w:iCs/>
            <w:color w:val="000000"/>
            <w:sz w:val="24"/>
            <w:szCs w:val="24"/>
          </w:rPr>
          <w:t xml:space="preserve">Ibid. </w:t>
        </w:r>
      </w:hyperlink>
      <w:r w:rsidRPr="00E50689">
        <w:rPr>
          <w:rFonts w:ascii="Californian FB" w:hAnsi="Californian FB" w:cs="Times New Roman"/>
          <w:color w:val="000000"/>
          <w:sz w:val="24"/>
          <w:szCs w:val="24"/>
        </w:rPr>
        <w:t xml:space="preserve">(emphasis added). Because these officials are generally empowered to make and interpret law, their “whole work” is deemed part of the “authentic exposition and interpretation of the law” and must be “free for publication to all.” </w:t>
      </w:r>
      <w:hyperlink r:id="rId220" w:history="1">
        <w:r w:rsidRPr="00E50689">
          <w:rPr>
            <w:rFonts w:ascii="Californian FB" w:hAnsi="Californian FB" w:cs="Times New Roman"/>
            <w:i/>
            <w:iCs/>
            <w:color w:val="000000"/>
            <w:sz w:val="24"/>
            <w:szCs w:val="24"/>
          </w:rPr>
          <w:t>Ibid.</w:t>
        </w:r>
      </w:hyperlink>
    </w:p>
    <w:p w14:paraId="0BC20DC7"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2E9733C1" w14:textId="0F2AE860"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If judges, acting as judges, cannot be “authors” because of their authority to make and interpret the law, it follows </w:t>
      </w:r>
      <w:proofErr w:type="gramStart"/>
      <w:r w:rsidRPr="00E50689">
        <w:rPr>
          <w:rFonts w:ascii="Californian FB" w:hAnsi="Californian FB" w:cs="Times New Roman"/>
          <w:color w:val="000000"/>
          <w:sz w:val="24"/>
          <w:szCs w:val="24"/>
        </w:rPr>
        <w:t>that legislators</w:t>
      </w:r>
      <w:proofErr w:type="gramEnd"/>
      <w:r w:rsidRPr="00E50689">
        <w:rPr>
          <w:rFonts w:ascii="Californian FB" w:hAnsi="Californian FB" w:cs="Times New Roman"/>
          <w:color w:val="000000"/>
          <w:sz w:val="24"/>
          <w:szCs w:val="24"/>
        </w:rPr>
        <w:t xml:space="preserve">, acting as legislators, cannot be either. Courts have thus long understood the government edicts doctrine to apply to legislative materials. See,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w:t>
      </w:r>
      <w:hyperlink r:id="rId221" w:anchor="co_pp_sp_577_560" w:history="1">
        <w:r w:rsidRPr="00E50689">
          <w:rPr>
            <w:rFonts w:ascii="Californian FB" w:hAnsi="Californian FB" w:cs="Times New Roman"/>
            <w:i/>
            <w:iCs/>
            <w:color w:val="000000"/>
            <w:sz w:val="24"/>
            <w:szCs w:val="24"/>
          </w:rPr>
          <w:t>Nash</w:t>
        </w:r>
        <w:r w:rsidRPr="00E50689">
          <w:rPr>
            <w:rFonts w:ascii="Californian FB" w:hAnsi="Californian FB" w:cs="Times New Roman"/>
            <w:color w:val="000000"/>
            <w:sz w:val="24"/>
            <w:szCs w:val="24"/>
          </w:rPr>
          <w:t>, 142 Mass. at 35, 6 N.E. at 560</w:t>
        </w:r>
      </w:hyperlink>
      <w:r w:rsidRPr="00E50689">
        <w:rPr>
          <w:rFonts w:ascii="Californian FB" w:hAnsi="Californian FB" w:cs="Times New Roman"/>
          <w:color w:val="000000"/>
          <w:sz w:val="24"/>
          <w:szCs w:val="24"/>
        </w:rPr>
        <w:t xml:space="preserve"> (judicial opinions and statutes stand “on substantially the same footing” </w:t>
      </w:r>
      <w:r w:rsidRPr="00E50689">
        <w:rPr>
          <w:rFonts w:ascii="Californian FB" w:hAnsi="Californian FB" w:cs="Times New Roman"/>
          <w:color w:val="000000"/>
          <w:sz w:val="24"/>
          <w:szCs w:val="24"/>
        </w:rPr>
        <w:lastRenderedPageBreak/>
        <w:t xml:space="preserve">for purposes of the government edicts doctrine); </w:t>
      </w:r>
      <w:hyperlink r:id="rId222" w:anchor="co_pp_sp_348_130" w:history="1">
        <w:r w:rsidRPr="00E50689">
          <w:rPr>
            <w:rFonts w:ascii="Californian FB" w:hAnsi="Californian FB" w:cs="Times New Roman"/>
            <w:i/>
            <w:iCs/>
            <w:color w:val="000000"/>
            <w:sz w:val="24"/>
            <w:szCs w:val="24"/>
          </w:rPr>
          <w:t>Howell v. Miller</w:t>
        </w:r>
        <w:r w:rsidRPr="00E50689">
          <w:rPr>
            <w:rFonts w:ascii="Californian FB" w:hAnsi="Californian FB" w:cs="Times New Roman"/>
            <w:color w:val="000000"/>
            <w:sz w:val="24"/>
            <w:szCs w:val="24"/>
          </w:rPr>
          <w:t>, 91 F. 129, 130–131, 137–138 (CA6 1898)</w:t>
        </w:r>
      </w:hyperlink>
      <w:r w:rsidRPr="00E50689">
        <w:rPr>
          <w:rFonts w:ascii="Californian FB" w:hAnsi="Californian FB" w:cs="Times New Roman"/>
          <w:color w:val="000000"/>
          <w:sz w:val="24"/>
          <w:szCs w:val="24"/>
        </w:rPr>
        <w:t xml:space="preserve"> (Harlan, J., Circuit Justice, joined by then-Circuit Judge Taft) (analyzing statutes and supplementary materials under </w:t>
      </w:r>
      <w:hyperlink r:id="rId223" w:history="1">
        <w:r w:rsidRPr="00E50689">
          <w:rPr>
            <w:rFonts w:ascii="Californian FB" w:hAnsi="Californian FB" w:cs="Times New Roman"/>
            <w:i/>
            <w:iCs/>
            <w:color w:val="000000"/>
            <w:sz w:val="24"/>
            <w:szCs w:val="24"/>
          </w:rPr>
          <w:t xml:space="preserve">Banks </w:t>
        </w:r>
      </w:hyperlink>
      <w:r w:rsidRPr="00E50689">
        <w:rPr>
          <w:rFonts w:ascii="Californian FB" w:hAnsi="Californian FB" w:cs="Times New Roman"/>
          <w:color w:val="000000"/>
          <w:sz w:val="24"/>
          <w:szCs w:val="24"/>
        </w:rPr>
        <w:t xml:space="preserve">and </w:t>
      </w:r>
      <w:hyperlink r:id="rId224" w:history="1">
        <w:r w:rsidRPr="00E50689">
          <w:rPr>
            <w:rFonts w:ascii="Californian FB" w:hAnsi="Californian FB" w:cs="Times New Roman"/>
            <w:i/>
            <w:iCs/>
            <w:color w:val="000000"/>
            <w:sz w:val="24"/>
            <w:szCs w:val="24"/>
          </w:rPr>
          <w:t xml:space="preserve">Callaghan </w:t>
        </w:r>
      </w:hyperlink>
      <w:r w:rsidRPr="00E50689">
        <w:rPr>
          <w:rFonts w:ascii="Californian FB" w:hAnsi="Californian FB" w:cs="Times New Roman"/>
          <w:color w:val="000000"/>
          <w:sz w:val="24"/>
          <w:szCs w:val="24"/>
        </w:rPr>
        <w:t xml:space="preserve">and concluding that the materials </w:t>
      </w:r>
      <w:bookmarkStart w:id="140" w:name="co_pp_sp_708_1508_1"/>
      <w:bookmarkEnd w:id="140"/>
      <w:r w:rsidRPr="00E50689">
        <w:rPr>
          <w:rFonts w:ascii="Californian FB" w:hAnsi="Californian FB" w:cs="Times New Roman"/>
          <w:color w:val="000000"/>
          <w:sz w:val="24"/>
          <w:szCs w:val="24"/>
        </w:rPr>
        <w:t>were copyrightable because they were prepared by a private compiler).</w:t>
      </w:r>
    </w:p>
    <w:p w14:paraId="79A9503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F78789F" w14:textId="293B7CB4"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41" w:name="co_anchor_B102050840643_1"/>
      <w:bookmarkStart w:id="142" w:name="co_anchor_B112050840643_1"/>
      <w:bookmarkEnd w:id="141"/>
      <w:bookmarkEnd w:id="142"/>
      <w:r w:rsidRPr="00E50689">
        <w:rPr>
          <w:rFonts w:ascii="Californian FB" w:hAnsi="Californian FB" w:cs="Times New Roman"/>
          <w:color w:val="000000"/>
          <w:sz w:val="24"/>
          <w:szCs w:val="24"/>
        </w:rPr>
        <w:t xml:space="preserve">Moreover, just as the doctrine applies to “whatever work [judges] perform in their capacity as judges,” </w:t>
      </w:r>
      <w:hyperlink r:id="rId225"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it applies to whatever work legislators perform in their capacity as legislators. That of course includes final legislation, but it also includes explanatory and procedural materials legislators create in the discharge of their legislative duties. In the same way that judges cannot be the authors of their headnotes and syllabi, legislators cannot be the authors of (for example) their floor statements, committee reports, and proposed bills. These materials are part of the “whole work done by [legislators],” so they must be “free for publication to all.” </w:t>
      </w:r>
      <w:hyperlink r:id="rId226" w:history="1">
        <w:r w:rsidRPr="00E50689">
          <w:rPr>
            <w:rFonts w:ascii="Californian FB" w:hAnsi="Californian FB" w:cs="Times New Roman"/>
            <w:i/>
            <w:iCs/>
            <w:color w:val="000000"/>
            <w:sz w:val="24"/>
            <w:szCs w:val="24"/>
          </w:rPr>
          <w:t>Ibid.</w:t>
        </w:r>
      </w:hyperlink>
    </w:p>
    <w:p w14:paraId="7BB84FCA"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8D9E51A"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43" w:name="co_anchor_B122050840643_1"/>
      <w:bookmarkEnd w:id="143"/>
      <w:r w:rsidRPr="00E50689">
        <w:rPr>
          <w:rFonts w:ascii="Californian FB" w:hAnsi="Californian FB" w:cs="Times New Roman"/>
          <w:color w:val="000000"/>
          <w:sz w:val="24"/>
          <w:szCs w:val="24"/>
        </w:rPr>
        <w:t>Under our precedents, therefore, copyright does not vest in works that are (1) created by judges and legislators (2) in the course of their judicial and legislative duties.</w:t>
      </w:r>
    </w:p>
    <w:p w14:paraId="0A3705DE"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7BE8CCF1" w14:textId="77777777"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r w:rsidRPr="00E50689">
        <w:rPr>
          <w:rFonts w:ascii="Californian FB" w:hAnsi="Californian FB" w:cs="Times New Roman"/>
          <w:color w:val="000000"/>
          <w:sz w:val="24"/>
          <w:szCs w:val="24"/>
        </w:rPr>
        <w:t>B</w:t>
      </w:r>
    </w:p>
    <w:p w14:paraId="2D0B3BB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44" w:name="co_anchor_I6fc8b151b6b911eaa4c6fcfe61768"/>
      <w:bookmarkStart w:id="145" w:name="co_anchor_B132050840643_1"/>
      <w:bookmarkEnd w:id="144"/>
      <w:bookmarkEnd w:id="145"/>
      <w:r w:rsidRPr="00E50689">
        <w:rPr>
          <w:rFonts w:ascii="Californian FB" w:hAnsi="Californian FB" w:cs="Times New Roman"/>
          <w:color w:val="000000"/>
          <w:sz w:val="24"/>
          <w:szCs w:val="24"/>
        </w:rPr>
        <w:t>Applying that framework, Georgia’s annotations are not copyrightable. The first step is to examine whether their purported author qualifies as a legislator.</w:t>
      </w:r>
    </w:p>
    <w:p w14:paraId="22FE2F80"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0C710371" w14:textId="6A2BC59A"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As we have explained, the annotations were prepared in the first instance by a private company (Lexis) pursuant to a work-for-hire agreement with Georgia’s Code Revision Commission. The Copyright Act therefore deems the Commission the sole “author” of the work. </w:t>
      </w:r>
      <w:hyperlink r:id="rId227" w:anchor="co_pp_a83b000018c76" w:history="1">
        <w:r w:rsidRPr="00E50689">
          <w:rPr>
            <w:rFonts w:ascii="Californian FB" w:hAnsi="Californian FB" w:cs="Times New Roman"/>
            <w:color w:val="000000"/>
            <w:sz w:val="24"/>
            <w:szCs w:val="24"/>
          </w:rPr>
          <w:t>17 U.S.C. § 201(b)</w:t>
        </w:r>
      </w:hyperlink>
      <w:r w:rsidRPr="00E50689">
        <w:rPr>
          <w:rFonts w:ascii="Californian FB" w:hAnsi="Californian FB" w:cs="Times New Roman"/>
          <w:color w:val="000000"/>
          <w:sz w:val="24"/>
          <w:szCs w:val="24"/>
        </w:rPr>
        <w:t xml:space="preserve">. Although Lexis expends considerable effort preparing the annotations, for purposes of copyright that labor redounds to the Commission as the statutory author. Georgia agrees that the author is the Commission. </w:t>
      </w:r>
    </w:p>
    <w:p w14:paraId="669DB388"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4AFD4C0F" w14:textId="2C489856"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The Commission is not identical to the Georgia Legislature, but functions as an arm of it for the purpose of producing the annotations. The Commission is created by the legislature, for the legislature, and consists largely of legislators. The Commission receives funding and staff designated by law for the legislative branch. Significantly, the annotations the Commission creates are approved by the legislature before being “merged” with the statutory text and published in the official code alongside that text at the legislature’s direction. </w:t>
      </w:r>
      <w:hyperlink r:id="rId228" w:history="1">
        <w:r w:rsidRPr="00E50689">
          <w:rPr>
            <w:rFonts w:ascii="Californian FB" w:hAnsi="Californian FB" w:cs="Times New Roman"/>
            <w:color w:val="000000"/>
            <w:sz w:val="24"/>
            <w:szCs w:val="24"/>
          </w:rPr>
          <w:t>OCGA § 1–1–1</w:t>
        </w:r>
      </w:hyperlink>
      <w:r w:rsidRPr="00E50689">
        <w:rPr>
          <w:rFonts w:ascii="Californian FB" w:hAnsi="Californian FB" w:cs="Times New Roman"/>
          <w:color w:val="000000"/>
          <w:sz w:val="24"/>
          <w:szCs w:val="24"/>
        </w:rPr>
        <w:t>.</w:t>
      </w:r>
    </w:p>
    <w:p w14:paraId="725BCB9D"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469F4304" w14:textId="77777777" w:rsidR="00260C60" w:rsidRPr="00E50689" w:rsidRDefault="00260C60" w:rsidP="00D95621">
      <w:pPr>
        <w:widowControl w:val="0"/>
        <w:autoSpaceDE w:val="0"/>
        <w:autoSpaceDN w:val="0"/>
        <w:adjustRightInd w:val="0"/>
        <w:spacing w:after="0" w:line="240" w:lineRule="auto"/>
        <w:ind w:firstLine="360"/>
        <w:jc w:val="center"/>
        <w:rPr>
          <w:rFonts w:ascii="Californian FB" w:hAnsi="Californian FB" w:cs="Times New Roman"/>
          <w:color w:val="000000"/>
          <w:sz w:val="24"/>
          <w:szCs w:val="24"/>
        </w:rPr>
      </w:pPr>
      <w:r w:rsidRPr="00FC217A">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
    <w:p w14:paraId="66DAC96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bookmarkStart w:id="146" w:name="co_anchor_I6fcbe5a1b6b911eaa4c6fcfe61768"/>
      <w:bookmarkEnd w:id="146"/>
    </w:p>
    <w:p w14:paraId="726CF278" w14:textId="26F692D2"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47" w:name="co_anchor_B142050840643_1"/>
      <w:bookmarkEnd w:id="147"/>
      <w:r w:rsidRPr="00E50689">
        <w:rPr>
          <w:rFonts w:ascii="Californian FB" w:hAnsi="Californian FB" w:cs="Times New Roman"/>
          <w:color w:val="000000"/>
          <w:sz w:val="24"/>
          <w:szCs w:val="24"/>
        </w:rPr>
        <w:t xml:space="preserve">The second step is to determine whether the Commission creates the annotations in the “discharge” of its legislative “duties.” </w:t>
      </w:r>
      <w:hyperlink r:id="rId229"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xml:space="preserve">. It does. Although the annotations are not enacted into law through bicameralism and presentment, the Commission’s preparation of the annotations is under Georgia law an act of “legislative authority,” </w:t>
      </w:r>
      <w:hyperlink r:id="rId230" w:anchor="co_pp_sp_711_34" w:history="1">
        <w:r w:rsidRPr="00E50689">
          <w:rPr>
            <w:rFonts w:ascii="Californian FB" w:hAnsi="Californian FB" w:cs="Times New Roman"/>
            <w:i/>
            <w:iCs/>
            <w:color w:val="000000"/>
            <w:sz w:val="24"/>
            <w:szCs w:val="24"/>
          </w:rPr>
          <w:t>Harrison Co.</w:t>
        </w:r>
        <w:r w:rsidRPr="00E50689">
          <w:rPr>
            <w:rFonts w:ascii="Californian FB" w:hAnsi="Californian FB" w:cs="Times New Roman"/>
            <w:color w:val="000000"/>
            <w:sz w:val="24"/>
            <w:szCs w:val="24"/>
          </w:rPr>
          <w:t>, 244 Ga. at 330, 260 S.E.2d at 34</w:t>
        </w:r>
      </w:hyperlink>
      <w:r w:rsidRPr="00E50689">
        <w:rPr>
          <w:rFonts w:ascii="Californian FB" w:hAnsi="Californian FB" w:cs="Times New Roman"/>
          <w:color w:val="000000"/>
          <w:sz w:val="24"/>
          <w:szCs w:val="24"/>
        </w:rPr>
        <w:t xml:space="preserve">, and the annotations provide commentary and resources that the legislature has deemed relevant to understanding its laws. Georgia and Justice GINSBURG emphasize that the annotations do not purport to provide authoritative explanations of the law and largely summarize other materials, such as judicial decisions and law review articles. See </w:t>
      </w:r>
      <w:r w:rsidRPr="00E50689">
        <w:rPr>
          <w:rFonts w:ascii="Californian FB" w:hAnsi="Californian FB" w:cs="Times New Roman"/>
          <w:i/>
          <w:iCs/>
          <w:color w:val="000000"/>
          <w:sz w:val="24"/>
          <w:szCs w:val="24"/>
        </w:rPr>
        <w:t>post</w:t>
      </w:r>
      <w:r w:rsidRPr="00E50689">
        <w:rPr>
          <w:rFonts w:ascii="Californian FB" w:hAnsi="Californian FB" w:cs="Times New Roman"/>
          <w:color w:val="000000"/>
          <w:sz w:val="24"/>
          <w:szCs w:val="24"/>
        </w:rPr>
        <w:t xml:space="preserve">, </w:t>
      </w:r>
      <w:r w:rsidRPr="00E50689">
        <w:rPr>
          <w:rFonts w:ascii="Californian FB" w:hAnsi="Californian FB" w:cs="Times New Roman"/>
          <w:color w:val="000000"/>
          <w:sz w:val="24"/>
          <w:szCs w:val="24"/>
        </w:rPr>
        <w:lastRenderedPageBreak/>
        <w:t>at 1523 – 1524 (dissenting opinion)</w:t>
      </w:r>
      <w:r w:rsidRPr="00E50689">
        <w:rPr>
          <w:rFonts w:ascii="Californian FB" w:hAnsi="Californian FB" w:cs="Times New Roman"/>
          <w:i/>
          <w:iCs/>
          <w:color w:val="000000"/>
          <w:sz w:val="24"/>
          <w:szCs w:val="24"/>
        </w:rPr>
        <w:t>.</w:t>
      </w:r>
      <w:r w:rsidRPr="00E50689">
        <w:rPr>
          <w:rFonts w:ascii="Californian FB" w:hAnsi="Californian FB" w:cs="Times New Roman"/>
          <w:color w:val="000000"/>
          <w:sz w:val="24"/>
          <w:szCs w:val="24"/>
        </w:rPr>
        <w:t xml:space="preserve"> But that does not take them outside the exercise of legislative duty by the Commission and legislature. Just as we have held that the “statement of the case and the syllabus or head note” prepared by judges fall within the “work they perform in their capacity as judges,” </w:t>
      </w:r>
      <w:hyperlink r:id="rId231" w:anchor="co_pp_sp_780_253" w:history="1">
        <w:r w:rsidRPr="00E50689">
          <w:rPr>
            <w:rFonts w:ascii="Californian FB" w:hAnsi="Californian FB" w:cs="Times New Roman"/>
            <w:i/>
            <w:iCs/>
            <w:color w:val="000000"/>
            <w:sz w:val="24"/>
            <w:szCs w:val="24"/>
          </w:rPr>
          <w:t>Banks</w:t>
        </w:r>
        <w:r w:rsidRPr="00E50689">
          <w:rPr>
            <w:rFonts w:ascii="Californian FB" w:hAnsi="Californian FB" w:cs="Times New Roman"/>
            <w:color w:val="000000"/>
            <w:sz w:val="24"/>
            <w:szCs w:val="24"/>
          </w:rPr>
          <w:t xml:space="preserve">, 128 U.S. at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36</w:t>
        </w:r>
      </w:hyperlink>
      <w:r w:rsidRPr="00E50689">
        <w:rPr>
          <w:rFonts w:ascii="Californian FB" w:hAnsi="Californian FB" w:cs="Times New Roman"/>
          <w:color w:val="000000"/>
          <w:sz w:val="24"/>
          <w:szCs w:val="24"/>
        </w:rPr>
        <w:t>, so too annotations published by legislators alongside the statutory text fall within the work legislators perform in their capacity as legislators.</w:t>
      </w:r>
    </w:p>
    <w:p w14:paraId="589ECA12"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5EBB04B5"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In light of the Commission’s role as an adjunct to the legislature and the fact that the Commission authors the annotations in the course of its legislative responsibilities, the annotations in Georgia’s Official Code fall within the government edicts doctrine and are not copyrightable.</w:t>
      </w:r>
    </w:p>
    <w:p w14:paraId="47B06A5F" w14:textId="77777777" w:rsidR="00260C60" w:rsidRPr="00E50689"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bookmarkStart w:id="148" w:name="co_anchor_I6fcd9351b6b911eaa4c6fcfe61768"/>
      <w:bookmarkEnd w:id="148"/>
      <w:r w:rsidRPr="00E50689">
        <w:rPr>
          <w:rFonts w:ascii="Californian FB" w:hAnsi="Californian FB" w:cs="Times New Roman"/>
          <w:color w:val="000000"/>
          <w:sz w:val="24"/>
          <w:szCs w:val="24"/>
        </w:rPr>
        <w:t>III</w:t>
      </w:r>
    </w:p>
    <w:p w14:paraId="55ED977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Georgia resists this conclusion on several grounds. At the outset, Georgia advances two arguments for why, in its view, excluding the OCGA annotations from copyright protection conflicts with the text of the Copyright Act. Both are unavailing.</w:t>
      </w:r>
    </w:p>
    <w:p w14:paraId="16D807EC"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78B4A6D9" w14:textId="5C6B505D"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First, Georgia notes that § 101 of the Act specifically lists “annotations” among the kinds of works eligible for copyright protection. But that provision refers only to “annotations ... which ... represent an original work of </w:t>
      </w:r>
      <w:r w:rsidRPr="00E50689">
        <w:rPr>
          <w:rFonts w:ascii="Californian FB" w:hAnsi="Californian FB" w:cs="Times New Roman"/>
          <w:i/>
          <w:iCs/>
          <w:color w:val="000000"/>
          <w:sz w:val="24"/>
          <w:szCs w:val="24"/>
        </w:rPr>
        <w:t>authorship</w:t>
      </w:r>
      <w:r w:rsidRPr="00E50689">
        <w:rPr>
          <w:rFonts w:ascii="Californian FB" w:hAnsi="Californian FB" w:cs="Times New Roman"/>
          <w:color w:val="000000"/>
          <w:sz w:val="24"/>
          <w:szCs w:val="24"/>
        </w:rPr>
        <w:t xml:space="preserve">.” </w:t>
      </w:r>
      <w:hyperlink r:id="rId232" w:history="1">
        <w:r w:rsidRPr="00E50689">
          <w:rPr>
            <w:rFonts w:ascii="Californian FB" w:hAnsi="Californian FB" w:cs="Times New Roman"/>
            <w:color w:val="000000"/>
            <w:sz w:val="24"/>
            <w:szCs w:val="24"/>
          </w:rPr>
          <w:t>17 U.S.C. § 101</w:t>
        </w:r>
      </w:hyperlink>
      <w:r w:rsidRPr="00E50689">
        <w:rPr>
          <w:rFonts w:ascii="Californian FB" w:hAnsi="Californian FB" w:cs="Times New Roman"/>
          <w:color w:val="000000"/>
          <w:sz w:val="24"/>
          <w:szCs w:val="24"/>
        </w:rPr>
        <w:t xml:space="preserve"> (emphasis added). The whole point of the government edicts doctrine is that judges and legislators cannot serve as authors when they produce works in their official capacity</w:t>
      </w:r>
      <w:proofErr w:type="gramStart"/>
      <w:r w:rsidRPr="00E50689">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r w:rsidRPr="00E50689">
        <w:rPr>
          <w:rFonts w:ascii="Californian FB" w:hAnsi="Californian FB" w:cs="Times New Roman"/>
          <w:color w:val="000000"/>
          <w:sz w:val="24"/>
          <w:szCs w:val="24"/>
        </w:rPr>
        <w:t xml:space="preserve"> </w:t>
      </w:r>
    </w:p>
    <w:p w14:paraId="4571C2ED"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384FCDBF" w14:textId="1BF6E3F8"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49" w:name="co_anchor_B152050840643_1"/>
      <w:bookmarkEnd w:id="149"/>
      <w:r w:rsidRPr="00E50689">
        <w:rPr>
          <w:rFonts w:ascii="Californian FB" w:hAnsi="Californian FB" w:cs="Times New Roman"/>
          <w:color w:val="000000"/>
          <w:sz w:val="24"/>
          <w:szCs w:val="24"/>
        </w:rPr>
        <w:t xml:space="preserve">Second, Georgia draws a negative inference from the fact that the Act excludes from copyright protection “work[s] prepared by an officer or employee of the United States Government as part of that person’s official duties” and does not establish a similar rule for the States. </w:t>
      </w:r>
      <w:hyperlink r:id="rId233" w:history="1">
        <w:r w:rsidRPr="00E50689">
          <w:rPr>
            <w:rFonts w:ascii="Californian FB" w:hAnsi="Californian FB" w:cs="Times New Roman"/>
            <w:color w:val="000000"/>
            <w:sz w:val="24"/>
            <w:szCs w:val="24"/>
          </w:rPr>
          <w:t>§ 101</w:t>
        </w:r>
      </w:hyperlink>
      <w:r w:rsidRPr="00E50689">
        <w:rPr>
          <w:rFonts w:ascii="Californian FB" w:hAnsi="Californian FB" w:cs="Times New Roman"/>
          <w:color w:val="000000"/>
          <w:sz w:val="24"/>
          <w:szCs w:val="24"/>
        </w:rPr>
        <w:t>; see also § 105. But the bar on copyright protection for federal works sweeps much more broadly than the government edicts</w:t>
      </w:r>
      <w:bookmarkStart w:id="150" w:name="co_pp_sp_708_1510_1"/>
      <w:bookmarkEnd w:id="150"/>
      <w:r w:rsidRPr="00E50689">
        <w:rPr>
          <w:rFonts w:ascii="Californian FB" w:hAnsi="Californian FB" w:cs="Times New Roman"/>
          <w:color w:val="000000"/>
          <w:sz w:val="24"/>
          <w:szCs w:val="24"/>
        </w:rPr>
        <w:t xml:space="preserve"> doctrine does. That bar applies to works created by all federal “officer[s] or employee[s],” without regard for the nature of their position or scope of their authority. Whatever policy reasons might justify the Federal Government’s decision to forfeit copyright protection for its own proprietary works, that federal rule does not suggest an intent to displace the much narrower government edicts doctrine with respect to the States. That doctrine does not apply to non-lawmaking officials, leaving States free to assert copyright in the vast majority of expressive works they produce, such as those created by their universities, libraries, tourism offices, and so on.</w:t>
      </w:r>
    </w:p>
    <w:p w14:paraId="6894F572"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3599072F" w14:textId="79A5A068"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51" w:name="co_anchor_B162050840643_1"/>
      <w:bookmarkEnd w:id="151"/>
      <w:r w:rsidRPr="00E50689">
        <w:rPr>
          <w:rFonts w:ascii="Californian FB" w:hAnsi="Californian FB" w:cs="Times New Roman"/>
          <w:color w:val="000000"/>
          <w:sz w:val="24"/>
          <w:szCs w:val="24"/>
        </w:rPr>
        <w:t xml:space="preserve">More generally, Georgia suggests that we should resist applying our government edicts precedents to the OCGA annotations because our 19th-century forebears interpreted the statutory term author by reference to “public policy”—an approach that Georgia believes is incongruous with the “modern era” of statutory interpretation. But we are particularly reluctant to disrupt precedents interpreting language that Congress has since reenacted. As we explained last Term in </w:t>
      </w:r>
      <w:hyperlink r:id="rId234" w:history="1">
        <w:proofErr w:type="spellStart"/>
        <w:r w:rsidRPr="00E50689">
          <w:rPr>
            <w:rFonts w:ascii="Californian FB" w:hAnsi="Californian FB" w:cs="Times New Roman"/>
            <w:i/>
            <w:iCs/>
            <w:color w:val="000000"/>
            <w:sz w:val="24"/>
            <w:szCs w:val="24"/>
          </w:rPr>
          <w:t>Helsinn</w:t>
        </w:r>
        <w:proofErr w:type="spellEnd"/>
        <w:r w:rsidRPr="00E50689">
          <w:rPr>
            <w:rFonts w:ascii="Californian FB" w:hAnsi="Californian FB" w:cs="Times New Roman"/>
            <w:i/>
            <w:iCs/>
            <w:color w:val="000000"/>
            <w:sz w:val="24"/>
            <w:szCs w:val="24"/>
          </w:rPr>
          <w:t xml:space="preserve"> Healthcare S. A. </w:t>
        </w:r>
        <w:r w:rsidRPr="00E50689">
          <w:rPr>
            <w:rFonts w:ascii="Californian FB" w:hAnsi="Californian FB" w:cs="Times New Roman"/>
            <w:color w:val="000000"/>
            <w:sz w:val="24"/>
            <w:szCs w:val="24"/>
          </w:rPr>
          <w:t xml:space="preserve">v. </w:t>
        </w:r>
        <w:r w:rsidRPr="00E50689">
          <w:rPr>
            <w:rFonts w:ascii="Californian FB" w:hAnsi="Californian FB" w:cs="Times New Roman"/>
            <w:i/>
            <w:iCs/>
            <w:color w:val="000000"/>
            <w:sz w:val="24"/>
            <w:szCs w:val="24"/>
          </w:rPr>
          <w:t>Teva Pharmaceuticals USA</w:t>
        </w:r>
        <w:r w:rsidRPr="00E50689">
          <w:rPr>
            <w:rFonts w:ascii="Californian FB" w:hAnsi="Californian FB" w:cs="Times New Roman"/>
            <w:color w:val="000000"/>
            <w:sz w:val="24"/>
            <w:szCs w:val="24"/>
          </w:rPr>
          <w:t>,</w:t>
        </w:r>
        <w:r w:rsidRPr="00E50689">
          <w:rPr>
            <w:rFonts w:ascii="Californian FB" w:hAnsi="Californian FB" w:cs="Times New Roman"/>
            <w:i/>
            <w:iCs/>
            <w:color w:val="000000"/>
            <w:sz w:val="24"/>
            <w:szCs w:val="24"/>
          </w:rPr>
          <w:t xml:space="preserve"> Inc.</w:t>
        </w:r>
        <w:r w:rsidRPr="00E50689">
          <w:rPr>
            <w:rFonts w:ascii="Californian FB" w:hAnsi="Californian FB" w:cs="Times New Roman"/>
            <w:color w:val="000000"/>
            <w:sz w:val="24"/>
            <w:szCs w:val="24"/>
          </w:rPr>
          <w:t xml:space="preserve">, 586 U.S. ––––, 139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628, 202 L.Ed.2d 551 (2019),</w:t>
        </w:r>
      </w:hyperlink>
      <w:r w:rsidRPr="00E50689">
        <w:rPr>
          <w:rFonts w:ascii="Californian FB" w:hAnsi="Californian FB" w:cs="Times New Roman"/>
          <w:color w:val="000000"/>
          <w:sz w:val="24"/>
          <w:szCs w:val="24"/>
        </w:rPr>
        <w:t xml:space="preserve"> when Congress “adopt[s] the language used in [an] earlier act,” we presume that Congress “adopted also the construction given by this Court to such language, and made it a part of the enactment.” </w:t>
      </w:r>
      <w:r w:rsidRPr="00E50689">
        <w:rPr>
          <w:rFonts w:ascii="Californian FB" w:hAnsi="Californian FB" w:cs="Times New Roman"/>
          <w:i/>
          <w:iCs/>
          <w:color w:val="000000"/>
          <w:sz w:val="24"/>
          <w:szCs w:val="24"/>
        </w:rPr>
        <w:t>Id.,</w:t>
      </w:r>
      <w:r w:rsidRPr="00E50689">
        <w:rPr>
          <w:rFonts w:ascii="Californian FB" w:hAnsi="Californian FB" w:cs="Times New Roman"/>
          <w:color w:val="000000"/>
          <w:sz w:val="24"/>
          <w:szCs w:val="24"/>
        </w:rPr>
        <w:t xml:space="preserve"> at ––––, 139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at 634 (quoting </w:t>
      </w:r>
      <w:hyperlink r:id="rId235" w:anchor="co_pp_sp_780_16" w:history="1">
        <w:r w:rsidRPr="00E50689">
          <w:rPr>
            <w:rFonts w:ascii="Californian FB" w:hAnsi="Californian FB" w:cs="Times New Roman"/>
            <w:i/>
            <w:iCs/>
            <w:color w:val="000000"/>
            <w:sz w:val="24"/>
            <w:szCs w:val="24"/>
          </w:rPr>
          <w:t>Shapiro v. United States</w:t>
        </w:r>
        <w:r w:rsidRPr="00E50689">
          <w:rPr>
            <w:rFonts w:ascii="Californian FB" w:hAnsi="Californian FB" w:cs="Times New Roman"/>
            <w:color w:val="000000"/>
            <w:sz w:val="24"/>
            <w:szCs w:val="24"/>
          </w:rPr>
          <w:t xml:space="preserve">, 335 U.S. 1, 16, 68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1375, 92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1787 (1948)</w:t>
        </w:r>
      </w:hyperlink>
      <w:r w:rsidRPr="00E50689">
        <w:rPr>
          <w:rFonts w:ascii="Californian FB" w:hAnsi="Californian FB" w:cs="Times New Roman"/>
          <w:color w:val="000000"/>
          <w:sz w:val="24"/>
          <w:szCs w:val="24"/>
        </w:rPr>
        <w:t xml:space="preserve">). A century of cases </w:t>
      </w:r>
      <w:proofErr w:type="gramStart"/>
      <w:r w:rsidRPr="00E50689">
        <w:rPr>
          <w:rFonts w:ascii="Californian FB" w:hAnsi="Californian FB" w:cs="Times New Roman"/>
          <w:color w:val="000000"/>
          <w:sz w:val="24"/>
          <w:szCs w:val="24"/>
        </w:rPr>
        <w:t>have</w:t>
      </w:r>
      <w:proofErr w:type="gramEnd"/>
      <w:r w:rsidRPr="00E50689">
        <w:rPr>
          <w:rFonts w:ascii="Californian FB" w:hAnsi="Californian FB" w:cs="Times New Roman"/>
          <w:color w:val="000000"/>
          <w:sz w:val="24"/>
          <w:szCs w:val="24"/>
        </w:rPr>
        <w:t xml:space="preserve"> rooted the government edicts doctrine in the word “author,” and Congress has repeatedly reused that term without abrogating the doctrine.</w:t>
      </w:r>
    </w:p>
    <w:p w14:paraId="4AB557B6"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29F2BF74" w14:textId="77777777" w:rsidR="00260C60" w:rsidRPr="00E50689" w:rsidRDefault="00260C60" w:rsidP="00D95621">
      <w:pPr>
        <w:widowControl w:val="0"/>
        <w:autoSpaceDE w:val="0"/>
        <w:autoSpaceDN w:val="0"/>
        <w:adjustRightInd w:val="0"/>
        <w:spacing w:after="0" w:line="240" w:lineRule="auto"/>
        <w:ind w:firstLine="360"/>
        <w:jc w:val="center"/>
        <w:rPr>
          <w:rFonts w:ascii="Californian FB" w:hAnsi="Californian FB" w:cs="Times New Roman"/>
          <w:color w:val="000000"/>
          <w:sz w:val="24"/>
          <w:szCs w:val="24"/>
        </w:rPr>
      </w:pPr>
      <w:r w:rsidRPr="0058692A">
        <w:rPr>
          <w:rFonts w:ascii="Californian FB" w:hAnsi="Californian FB" w:cs="Times New Roman"/>
          <w:color w:val="000000"/>
          <w:sz w:val="24"/>
          <w:szCs w:val="24"/>
        </w:rPr>
        <w:t>*</w:t>
      </w:r>
      <w:r>
        <w:rPr>
          <w:rFonts w:ascii="Californian FB" w:hAnsi="Californian FB" w:cs="Times New Roman"/>
          <w:color w:val="000000"/>
          <w:sz w:val="24"/>
          <w:szCs w:val="24"/>
        </w:rPr>
        <w:t xml:space="preserve"> * *</w:t>
      </w:r>
    </w:p>
    <w:p w14:paraId="60A792EA"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17BC09AE" w14:textId="6207B7B5"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52" w:name="co_anchor_B172050840643_1"/>
      <w:bookmarkEnd w:id="152"/>
      <w:r w:rsidRPr="00E50689">
        <w:rPr>
          <w:rFonts w:ascii="Californian FB" w:hAnsi="Californian FB" w:cs="Times New Roman"/>
          <w:color w:val="000000"/>
          <w:sz w:val="24"/>
          <w:szCs w:val="24"/>
        </w:rPr>
        <w:t> </w:t>
      </w:r>
      <w:bookmarkStart w:id="153" w:name="co_anchor_B182050840643_1"/>
      <w:bookmarkEnd w:id="153"/>
      <w:r w:rsidRPr="00E50689">
        <w:rPr>
          <w:rFonts w:ascii="Californian FB" w:hAnsi="Californian FB" w:cs="Times New Roman"/>
          <w:color w:val="000000"/>
          <w:sz w:val="24"/>
          <w:szCs w:val="24"/>
        </w:rPr>
        <w:t xml:space="preserve">Georgia also appeals to the overall purpose of the Copyright Act to promote the creation and dissemination of creative works. Georgia submits that, without copyright protection, Georgia and many other States will be unable to induce private parties like Lexis to assist in preparing affordable annotated codes for widespread distribution. That appeal to copyright policy, however, is addressed to the wrong forum. As Georgia acknowledges, “[I]t is generally for Congress, not the courts, to decide how best to pursue the Copyright Clause’s objectives.” </w:t>
      </w:r>
      <w:hyperlink r:id="rId236" w:anchor="co_pp_sp_780_212" w:history="1">
        <w:r w:rsidRPr="00E50689">
          <w:rPr>
            <w:rFonts w:ascii="Californian FB" w:hAnsi="Californian FB" w:cs="Times New Roman"/>
            <w:i/>
            <w:iCs/>
            <w:color w:val="000000"/>
            <w:sz w:val="24"/>
            <w:szCs w:val="24"/>
          </w:rPr>
          <w:t>Eldred v. Ashcroft</w:t>
        </w:r>
        <w:r w:rsidRPr="00E50689">
          <w:rPr>
            <w:rFonts w:ascii="Californian FB" w:hAnsi="Californian FB" w:cs="Times New Roman"/>
            <w:color w:val="000000"/>
            <w:sz w:val="24"/>
            <w:szCs w:val="24"/>
          </w:rPr>
          <w:t xml:space="preserve">, 537 U.S. 186, 212, 123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769, 154 L.Ed.2d 683 (2003)</w:t>
        </w:r>
      </w:hyperlink>
      <w:proofErr w:type="gramStart"/>
      <w:r w:rsidRPr="00E50689">
        <w:rPr>
          <w:rFonts w:ascii="Californian FB" w:hAnsi="Californian FB" w:cs="Times New Roman"/>
          <w:color w:val="000000"/>
          <w:sz w:val="24"/>
          <w:szCs w:val="24"/>
        </w:rPr>
        <w:t xml:space="preserve">. </w:t>
      </w:r>
      <w:r>
        <w:rPr>
          <w:rFonts w:ascii="Californian FB" w:hAnsi="Californian FB" w:cs="Times New Roman"/>
          <w:color w:val="000000"/>
          <w:sz w:val="24"/>
          <w:szCs w:val="24"/>
        </w:rPr>
        <w:t>. . .</w:t>
      </w:r>
      <w:proofErr w:type="gramEnd"/>
    </w:p>
    <w:p w14:paraId="23CC168E"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789FDDB"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Turning to our government edicts precedents, Georgia insists that they can and should be read to focus exclusively on whether a particular work has “the force of law.” Brief for Petitioners 32 (capitalization deleted).</w:t>
      </w:r>
      <w:r>
        <w:rPr>
          <w:rFonts w:ascii="Californian FB" w:hAnsi="Californian FB" w:cs="Times New Roman"/>
          <w:color w:val="000000"/>
          <w:sz w:val="24"/>
          <w:szCs w:val="24"/>
        </w:rPr>
        <w:t xml:space="preserve"> * * *</w:t>
      </w:r>
      <w:r w:rsidRPr="00E50689">
        <w:rPr>
          <w:rFonts w:ascii="Californian FB" w:hAnsi="Californian FB" w:cs="Times New Roman"/>
          <w:color w:val="000000"/>
          <w:sz w:val="24"/>
          <w:szCs w:val="24"/>
        </w:rPr>
        <w:t xml:space="preserve"> But the Act’s reference to “authorship” provides no basis for Georgia’s rule distinguishing between different categories of content with different effects.</w:t>
      </w:r>
      <w:bookmarkStart w:id="154" w:name="co_fnRef_B00052050840643_ID0EEJCI_1"/>
      <w:bookmarkEnd w:id="154"/>
      <w:r w:rsidRPr="00E50689">
        <w:rPr>
          <w:rFonts w:ascii="Californian FB" w:hAnsi="Californian FB" w:cs="Times New Roman"/>
          <w:color w:val="000000"/>
          <w:sz w:val="24"/>
          <w:szCs w:val="24"/>
        </w:rPr>
        <w:t xml:space="preserve"> </w:t>
      </w:r>
    </w:p>
    <w:p w14:paraId="33DCA435"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32946371" w14:textId="544CE89E"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Georgia minimizes the OCGA annotations as non-binding and non-authoritative, but that description undersells their practical significance. Imagine a Georgia citizen interested in learning his legal rights and duties. If he reads the economy-class version of the Georgia Code available online, he will see laws requiring political candidates to pay hefty qualification fees (with no indigency exception), criminalizing broad categories of consensual sexual conduct, and exempting certain key evidence in criminal trials from standard evidentiary limitations—with no hint that important aspects of those laws have been held unconstitutional by the Georgia Supreme Court. See </w:t>
      </w:r>
      <w:hyperlink r:id="rId237" w:history="1">
        <w:r w:rsidRPr="00E50689">
          <w:rPr>
            <w:rFonts w:ascii="Californian FB" w:hAnsi="Californian FB" w:cs="Times New Roman"/>
            <w:color w:val="000000"/>
            <w:sz w:val="24"/>
            <w:szCs w:val="24"/>
          </w:rPr>
          <w:t>OCGA §§ 21–2–131</w:t>
        </w:r>
      </w:hyperlink>
      <w:r w:rsidRPr="00E50689">
        <w:rPr>
          <w:rFonts w:ascii="Californian FB" w:hAnsi="Californian FB" w:cs="Times New Roman"/>
          <w:color w:val="000000"/>
          <w:sz w:val="24"/>
          <w:szCs w:val="24"/>
        </w:rPr>
        <w:t xml:space="preserve">, </w:t>
      </w:r>
      <w:r w:rsidRPr="001B024C">
        <w:rPr>
          <w:rFonts w:ascii="Californian FB" w:hAnsi="Californian FB" w:cs="Times New Roman"/>
          <w:color w:val="000000"/>
          <w:sz w:val="24"/>
          <w:szCs w:val="24"/>
        </w:rPr>
        <w:t>16–6–2</w:t>
      </w:r>
      <w:r w:rsidRPr="00E50689">
        <w:rPr>
          <w:rFonts w:ascii="Californian FB" w:hAnsi="Californian FB" w:cs="Times New Roman"/>
          <w:color w:val="000000"/>
          <w:sz w:val="24"/>
          <w:szCs w:val="24"/>
        </w:rPr>
        <w:t xml:space="preserve">, </w:t>
      </w:r>
      <w:hyperlink r:id="rId238" w:history="1">
        <w:r w:rsidRPr="00E50689">
          <w:rPr>
            <w:rFonts w:ascii="Californian FB" w:hAnsi="Californian FB" w:cs="Times New Roman"/>
            <w:color w:val="000000"/>
            <w:sz w:val="24"/>
            <w:szCs w:val="24"/>
          </w:rPr>
          <w:t>16–6–18</w:t>
        </w:r>
      </w:hyperlink>
      <w:r w:rsidRPr="00E50689">
        <w:rPr>
          <w:rFonts w:ascii="Californian FB" w:hAnsi="Californian FB" w:cs="Times New Roman"/>
          <w:color w:val="000000"/>
          <w:sz w:val="24"/>
          <w:szCs w:val="24"/>
        </w:rPr>
        <w:t xml:space="preserve">, </w:t>
      </w:r>
      <w:hyperlink r:id="rId239" w:history="1">
        <w:r w:rsidRPr="00E50689">
          <w:rPr>
            <w:rFonts w:ascii="Californian FB" w:hAnsi="Californian FB" w:cs="Times New Roman"/>
            <w:color w:val="000000"/>
            <w:sz w:val="24"/>
            <w:szCs w:val="24"/>
          </w:rPr>
          <w:t>16–15–9</w:t>
        </w:r>
      </w:hyperlink>
      <w:r w:rsidRPr="00E50689">
        <w:rPr>
          <w:rFonts w:ascii="Californian FB" w:hAnsi="Californian FB" w:cs="Times New Roman"/>
          <w:color w:val="000000"/>
          <w:sz w:val="24"/>
          <w:szCs w:val="24"/>
        </w:rPr>
        <w:t xml:space="preserve"> (available at www.legis.ga.gov). Meanwhile, first-class readers with access to the annotations will be assured that these laws are, in crucial respects, unenforceable relics that the legislature has not bothered to narrow or repeal. See </w:t>
      </w:r>
      <w:hyperlink r:id="rId240" w:history="1">
        <w:r w:rsidRPr="00E50689">
          <w:rPr>
            <w:rFonts w:ascii="Californian FB" w:hAnsi="Californian FB" w:cs="Times New Roman"/>
            <w:color w:val="000000"/>
            <w:sz w:val="24"/>
            <w:szCs w:val="24"/>
          </w:rPr>
          <w:t>§§ 21–2–131</w:t>
        </w:r>
      </w:hyperlink>
      <w:r w:rsidRPr="00E50689">
        <w:rPr>
          <w:rFonts w:ascii="Californian FB" w:hAnsi="Californian FB" w:cs="Times New Roman"/>
          <w:color w:val="000000"/>
          <w:sz w:val="24"/>
          <w:szCs w:val="24"/>
        </w:rPr>
        <w:t xml:space="preserve">, </w:t>
      </w:r>
      <w:hyperlink r:id="rId241" w:history="1">
        <w:r w:rsidRPr="00E50689">
          <w:rPr>
            <w:rFonts w:ascii="Californian FB" w:hAnsi="Californian FB" w:cs="Times New Roman"/>
            <w:color w:val="000000"/>
            <w:sz w:val="24"/>
            <w:szCs w:val="24"/>
          </w:rPr>
          <w:t>16–6–2</w:t>
        </w:r>
      </w:hyperlink>
      <w:r w:rsidRPr="00E50689">
        <w:rPr>
          <w:rFonts w:ascii="Californian FB" w:hAnsi="Californian FB" w:cs="Times New Roman"/>
          <w:color w:val="000000"/>
          <w:sz w:val="24"/>
          <w:szCs w:val="24"/>
        </w:rPr>
        <w:t xml:space="preserve">, </w:t>
      </w:r>
      <w:hyperlink r:id="rId242" w:history="1">
        <w:r w:rsidRPr="00E50689">
          <w:rPr>
            <w:rFonts w:ascii="Californian FB" w:hAnsi="Californian FB" w:cs="Times New Roman"/>
            <w:color w:val="000000"/>
            <w:sz w:val="24"/>
            <w:szCs w:val="24"/>
          </w:rPr>
          <w:t>16–6–18</w:t>
        </w:r>
      </w:hyperlink>
      <w:r w:rsidRPr="00E50689">
        <w:rPr>
          <w:rFonts w:ascii="Californian FB" w:hAnsi="Californian FB" w:cs="Times New Roman"/>
          <w:color w:val="000000"/>
          <w:sz w:val="24"/>
          <w:szCs w:val="24"/>
        </w:rPr>
        <w:t xml:space="preserve">, </w:t>
      </w:r>
      <w:hyperlink r:id="rId243" w:history="1">
        <w:r w:rsidRPr="00E50689">
          <w:rPr>
            <w:rFonts w:ascii="Californian FB" w:hAnsi="Californian FB" w:cs="Times New Roman"/>
            <w:color w:val="000000"/>
            <w:sz w:val="24"/>
            <w:szCs w:val="24"/>
          </w:rPr>
          <w:t>16–15–9</w:t>
        </w:r>
      </w:hyperlink>
      <w:r w:rsidRPr="00E50689">
        <w:rPr>
          <w:rFonts w:ascii="Californian FB" w:hAnsi="Californian FB" w:cs="Times New Roman"/>
          <w:color w:val="000000"/>
          <w:sz w:val="24"/>
          <w:szCs w:val="24"/>
        </w:rPr>
        <w:t xml:space="preserve"> (available at https://store.lexisnexis.com/products/official - code - of - </w:t>
      </w:r>
      <w:proofErr w:type="spellStart"/>
      <w:r w:rsidRPr="00E50689">
        <w:rPr>
          <w:rFonts w:ascii="Californian FB" w:hAnsi="Californian FB" w:cs="Times New Roman"/>
          <w:color w:val="000000"/>
          <w:sz w:val="24"/>
          <w:szCs w:val="24"/>
        </w:rPr>
        <w:t>georgia</w:t>
      </w:r>
      <w:proofErr w:type="spellEnd"/>
      <w:r w:rsidRPr="00E50689">
        <w:rPr>
          <w:rFonts w:ascii="Californian FB" w:hAnsi="Californian FB" w:cs="Times New Roman"/>
          <w:color w:val="000000"/>
          <w:sz w:val="24"/>
          <w:szCs w:val="24"/>
        </w:rPr>
        <w:t xml:space="preserve"> - annotated - skuSKU6647 for $412.00).</w:t>
      </w:r>
    </w:p>
    <w:p w14:paraId="01B7A5E5" w14:textId="77777777" w:rsidR="00260C60" w:rsidRDefault="00260C60" w:rsidP="00D95621">
      <w:pPr>
        <w:widowControl w:val="0"/>
        <w:autoSpaceDE w:val="0"/>
        <w:autoSpaceDN w:val="0"/>
        <w:adjustRightInd w:val="0"/>
        <w:spacing w:before="120" w:after="120" w:line="240" w:lineRule="auto"/>
        <w:ind w:firstLine="360"/>
        <w:jc w:val="center"/>
        <w:rPr>
          <w:rFonts w:ascii="Californian FB" w:hAnsi="Californian FB" w:cs="Times New Roman"/>
          <w:color w:val="000000"/>
          <w:sz w:val="24"/>
          <w:szCs w:val="24"/>
        </w:rPr>
      </w:pPr>
      <w:r>
        <w:rPr>
          <w:rFonts w:ascii="Californian FB" w:hAnsi="Californian FB" w:cs="Times New Roman"/>
          <w:color w:val="000000"/>
          <w:sz w:val="24"/>
          <w:szCs w:val="24"/>
        </w:rPr>
        <w:t>* * *</w:t>
      </w:r>
    </w:p>
    <w:p w14:paraId="7D63EC5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Instead of examining whether given material carries “the force of law,” we ask only whether the author of the work is a judge or a legislator. If so, then whatever work that judge or legislator produces in the course of his judicial or legislative duties is not copyrightable. That is the framework our precedents long ago established, and we adhere to those precedents today.</w:t>
      </w:r>
    </w:p>
    <w:p w14:paraId="7D7002D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210A167" w14:textId="77777777" w:rsidR="004F2FAB" w:rsidRDefault="004F2FAB" w:rsidP="00D95621">
      <w:pPr>
        <w:widowControl w:val="0"/>
        <w:autoSpaceDE w:val="0"/>
        <w:autoSpaceDN w:val="0"/>
        <w:adjustRightInd w:val="0"/>
        <w:spacing w:after="0" w:line="240" w:lineRule="auto"/>
        <w:ind w:firstLine="360"/>
        <w:rPr>
          <w:rFonts w:ascii="Californian FB" w:hAnsi="Californian FB" w:cs="Times New Roman"/>
          <w:b/>
          <w:bCs/>
          <w:color w:val="000000"/>
          <w:sz w:val="24"/>
          <w:szCs w:val="24"/>
        </w:rPr>
      </w:pPr>
      <w:bookmarkStart w:id="155" w:name="co_anchor_I6fde0e11b6b911eaa4c6fcfe61768"/>
      <w:bookmarkStart w:id="156" w:name="co_dissent_opinion_1"/>
      <w:bookmarkEnd w:id="155"/>
      <w:bookmarkEnd w:id="156"/>
    </w:p>
    <w:p w14:paraId="0FA53B0B" w14:textId="77777777" w:rsidR="004F2FAB" w:rsidRDefault="004F2FAB" w:rsidP="00D95621">
      <w:pPr>
        <w:widowControl w:val="0"/>
        <w:autoSpaceDE w:val="0"/>
        <w:autoSpaceDN w:val="0"/>
        <w:adjustRightInd w:val="0"/>
        <w:spacing w:after="0" w:line="240" w:lineRule="auto"/>
        <w:ind w:firstLine="360"/>
        <w:rPr>
          <w:rFonts w:ascii="Californian FB" w:hAnsi="Californian FB" w:cs="Times New Roman"/>
          <w:b/>
          <w:bCs/>
          <w:color w:val="000000"/>
          <w:sz w:val="24"/>
          <w:szCs w:val="24"/>
        </w:rPr>
      </w:pPr>
    </w:p>
    <w:p w14:paraId="4D297BC5" w14:textId="330CDDC9" w:rsidR="00260C60" w:rsidRPr="001B024C" w:rsidRDefault="00260C60" w:rsidP="00D95621">
      <w:pPr>
        <w:widowControl w:val="0"/>
        <w:autoSpaceDE w:val="0"/>
        <w:autoSpaceDN w:val="0"/>
        <w:adjustRightInd w:val="0"/>
        <w:spacing w:after="0" w:line="240" w:lineRule="auto"/>
        <w:ind w:firstLine="360"/>
        <w:rPr>
          <w:rFonts w:ascii="Californian FB" w:hAnsi="Californian FB" w:cs="Times New Roman"/>
          <w:b/>
          <w:bCs/>
          <w:color w:val="000000"/>
          <w:sz w:val="24"/>
          <w:szCs w:val="24"/>
        </w:rPr>
      </w:pPr>
      <w:r w:rsidRPr="001B024C">
        <w:rPr>
          <w:rFonts w:ascii="Californian FB" w:hAnsi="Californian FB" w:cs="Times New Roman"/>
          <w:b/>
          <w:bCs/>
          <w:color w:val="000000"/>
          <w:sz w:val="24"/>
          <w:szCs w:val="24"/>
        </w:rPr>
        <w:t xml:space="preserve">Justice </w:t>
      </w:r>
      <w:hyperlink r:id="rId244" w:history="1">
        <w:r w:rsidRPr="001B024C">
          <w:rPr>
            <w:rFonts w:ascii="Californian FB" w:hAnsi="Californian FB" w:cs="Times New Roman"/>
            <w:b/>
            <w:bCs/>
            <w:color w:val="000000"/>
            <w:sz w:val="24"/>
            <w:szCs w:val="24"/>
          </w:rPr>
          <w:t>THOMAS</w:t>
        </w:r>
      </w:hyperlink>
      <w:r w:rsidRPr="001B024C">
        <w:rPr>
          <w:rFonts w:ascii="Californian FB" w:hAnsi="Californian FB" w:cs="Times New Roman"/>
          <w:b/>
          <w:bCs/>
          <w:color w:val="000000"/>
          <w:sz w:val="24"/>
          <w:szCs w:val="24"/>
        </w:rPr>
        <w:t xml:space="preserve">, with whom Justice </w:t>
      </w:r>
      <w:hyperlink r:id="rId245" w:history="1">
        <w:r w:rsidRPr="001B024C">
          <w:rPr>
            <w:rFonts w:ascii="Californian FB" w:hAnsi="Californian FB" w:cs="Times New Roman"/>
            <w:b/>
            <w:bCs/>
            <w:color w:val="000000"/>
            <w:sz w:val="24"/>
            <w:szCs w:val="24"/>
          </w:rPr>
          <w:t>ALITO</w:t>
        </w:r>
      </w:hyperlink>
      <w:r w:rsidRPr="001B024C">
        <w:rPr>
          <w:rFonts w:ascii="Californian FB" w:hAnsi="Californian FB" w:cs="Times New Roman"/>
          <w:b/>
          <w:bCs/>
          <w:color w:val="000000"/>
          <w:sz w:val="24"/>
          <w:szCs w:val="24"/>
        </w:rPr>
        <w:t xml:space="preserve"> joins, and with whom Justice </w:t>
      </w:r>
      <w:hyperlink r:id="rId246" w:history="1">
        <w:r w:rsidRPr="001B024C">
          <w:rPr>
            <w:rFonts w:ascii="Californian FB" w:hAnsi="Californian FB" w:cs="Times New Roman"/>
            <w:b/>
            <w:bCs/>
            <w:color w:val="000000"/>
            <w:sz w:val="24"/>
            <w:szCs w:val="24"/>
          </w:rPr>
          <w:t>BREYER</w:t>
        </w:r>
      </w:hyperlink>
      <w:r w:rsidRPr="001B024C">
        <w:rPr>
          <w:rFonts w:ascii="Californian FB" w:hAnsi="Californian FB" w:cs="Times New Roman"/>
          <w:b/>
          <w:bCs/>
          <w:color w:val="000000"/>
          <w:sz w:val="24"/>
          <w:szCs w:val="24"/>
        </w:rPr>
        <w:t xml:space="preserve"> joins as to all but Part II–A and footnote 6, dissenting.</w:t>
      </w:r>
    </w:p>
    <w:p w14:paraId="4B7E1F0A"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57" w:name="co_anchor_I6fded164b6b911eaa4c6fcfe61768"/>
      <w:bookmarkEnd w:id="157"/>
    </w:p>
    <w:p w14:paraId="4079A0BE"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According to the majority, this Court’s 19th-century “government edicts” precedents clearly stand for the proposition that “judges and legislators cannot serve as authors [for copyright purposes] when they produce works in their official capacity.” And, after straining to conclude that the Georgia Code Revision Commission (Commission) is an arm of the Georgia Legislature,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xml:space="preserve">, at 1508 – 1509, the majority concludes that Georgia cannot hold a copyright in the annotations that are included as part of the Official Code of Georgia Annotated (OCGA). This </w:t>
      </w:r>
      <w:r w:rsidRPr="00E50689">
        <w:rPr>
          <w:rFonts w:ascii="Californian FB" w:hAnsi="Californian FB" w:cs="Times New Roman"/>
          <w:color w:val="000000"/>
          <w:sz w:val="24"/>
          <w:szCs w:val="24"/>
        </w:rPr>
        <w:lastRenderedPageBreak/>
        <w:t>ruling will likely come as a shock to the 25 other jurisdictions—22 States, 2 Territories, and the District of Columbia—that rely on arrangements similar to Georgia’s to produce annotated codes. Perhaps these jurisdictions all overlooked this Court’s purportedly clear guidance. Or perhaps the widespread use of these arrangements indicates that today’s decision extends the government edicts doctrine to a new context, rather than simply “confirm[</w:t>
      </w:r>
      <w:proofErr w:type="spellStart"/>
      <w:r w:rsidRPr="00E50689">
        <w:rPr>
          <w:rFonts w:ascii="Californian FB" w:hAnsi="Californian FB" w:cs="Times New Roman"/>
          <w:color w:val="000000"/>
          <w:sz w:val="24"/>
          <w:szCs w:val="24"/>
        </w:rPr>
        <w:t>ing</w:t>
      </w:r>
      <w:proofErr w:type="spellEnd"/>
      <w:r w:rsidRPr="00E50689">
        <w:rPr>
          <w:rFonts w:ascii="Californian FB" w:hAnsi="Californian FB" w:cs="Times New Roman"/>
          <w:color w:val="000000"/>
          <w:sz w:val="24"/>
          <w:szCs w:val="24"/>
        </w:rPr>
        <w:t>]” what the precedents have always held</w:t>
      </w:r>
      <w:proofErr w:type="gramStart"/>
      <w:r w:rsidRPr="00E50689">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p>
    <w:p w14:paraId="15187843"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58" w:name="co_anchor_I6fe07f11b6b911eaa4c6fcfe61768"/>
      <w:bookmarkEnd w:id="158"/>
    </w:p>
    <w:p w14:paraId="66CA50A5" w14:textId="6294BA73"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Like the majority, I begin with the three 19th-century precedents that the parties agree provide the foundation for the government edicts doctrine.</w:t>
      </w:r>
      <w:r>
        <w:rPr>
          <w:rFonts w:ascii="Californian FB" w:hAnsi="Californian FB" w:cs="Times New Roman"/>
          <w:color w:val="000000"/>
          <w:sz w:val="24"/>
          <w:szCs w:val="24"/>
        </w:rPr>
        <w:t xml:space="preserve"> * * * </w:t>
      </w:r>
      <w:r w:rsidRPr="00E50689">
        <w:rPr>
          <w:rFonts w:ascii="Californian FB" w:hAnsi="Californian FB" w:cs="Times New Roman"/>
          <w:color w:val="000000"/>
          <w:sz w:val="24"/>
          <w:szCs w:val="24"/>
        </w:rPr>
        <w:t xml:space="preserve">These precedents </w:t>
      </w:r>
      <w:r>
        <w:rPr>
          <w:rFonts w:ascii="Californian FB" w:hAnsi="Californian FB" w:cs="Times New Roman"/>
          <w:color w:val="000000"/>
          <w:sz w:val="24"/>
          <w:szCs w:val="24"/>
        </w:rPr>
        <w:t xml:space="preserve">[ – </w:t>
      </w:r>
      <w:r w:rsidRPr="008A5703">
        <w:rPr>
          <w:rFonts w:ascii="Californian FB" w:hAnsi="Californian FB" w:cs="Times New Roman"/>
          <w:i/>
          <w:iCs/>
          <w:color w:val="000000"/>
          <w:sz w:val="24"/>
          <w:szCs w:val="24"/>
        </w:rPr>
        <w:t>Wheaton v. Peters</w:t>
      </w:r>
      <w:r>
        <w:rPr>
          <w:rFonts w:ascii="Californian FB" w:hAnsi="Californian FB" w:cs="Times New Roman"/>
          <w:color w:val="000000"/>
          <w:sz w:val="24"/>
          <w:szCs w:val="24"/>
        </w:rPr>
        <w:t xml:space="preserve">, </w:t>
      </w:r>
      <w:r w:rsidRPr="008A5703">
        <w:rPr>
          <w:rFonts w:ascii="Californian FB" w:hAnsi="Californian FB" w:cs="Times New Roman"/>
          <w:i/>
          <w:iCs/>
          <w:color w:val="000000"/>
          <w:sz w:val="24"/>
          <w:szCs w:val="24"/>
        </w:rPr>
        <w:t>Banks v. Manchester</w:t>
      </w:r>
      <w:r>
        <w:rPr>
          <w:rFonts w:ascii="Californian FB" w:hAnsi="Californian FB" w:cs="Times New Roman"/>
          <w:color w:val="000000"/>
          <w:sz w:val="24"/>
          <w:szCs w:val="24"/>
        </w:rPr>
        <w:t xml:space="preserve">, and </w:t>
      </w:r>
      <w:r w:rsidRPr="008A5703">
        <w:rPr>
          <w:rFonts w:ascii="Californian FB" w:hAnsi="Californian FB" w:cs="Times New Roman"/>
          <w:i/>
          <w:iCs/>
          <w:color w:val="000000"/>
          <w:sz w:val="24"/>
          <w:szCs w:val="24"/>
        </w:rPr>
        <w:t>Callaghan v. Myers</w:t>
      </w:r>
      <w:r>
        <w:rPr>
          <w:rFonts w:ascii="Californian FB" w:hAnsi="Californian FB" w:cs="Times New Roman"/>
          <w:color w:val="000000"/>
          <w:sz w:val="24"/>
          <w:szCs w:val="24"/>
        </w:rPr>
        <w:t xml:space="preserve"> </w:t>
      </w:r>
      <w:proofErr w:type="gramStart"/>
      <w:r>
        <w:rPr>
          <w:rFonts w:ascii="Californian FB" w:hAnsi="Californian FB" w:cs="Times New Roman"/>
          <w:color w:val="000000"/>
          <w:sz w:val="24"/>
          <w:szCs w:val="24"/>
        </w:rPr>
        <w:t>– ]</w:t>
      </w:r>
      <w:proofErr w:type="gramEnd"/>
      <w:r>
        <w:rPr>
          <w:rFonts w:ascii="Californian FB" w:hAnsi="Californian FB" w:cs="Times New Roman"/>
          <w:color w:val="000000"/>
          <w:sz w:val="24"/>
          <w:szCs w:val="24"/>
        </w:rPr>
        <w:t xml:space="preserve"> </w:t>
      </w:r>
      <w:r w:rsidRPr="008A5703">
        <w:rPr>
          <w:rFonts w:ascii="Californian FB" w:hAnsi="Californian FB" w:cs="Times New Roman"/>
          <w:color w:val="000000"/>
          <w:sz w:val="24"/>
          <w:szCs w:val="24"/>
        </w:rPr>
        <w:t>establish</w:t>
      </w:r>
      <w:r w:rsidRPr="00E50689">
        <w:rPr>
          <w:rFonts w:ascii="Californian FB" w:hAnsi="Californian FB" w:cs="Times New Roman"/>
          <w:color w:val="000000"/>
          <w:sz w:val="24"/>
          <w:szCs w:val="24"/>
        </w:rPr>
        <w:t xml:space="preserve"> that judicial opinions cannot be copyrighted. But they do not exclude from copyright protection notes that are prepared by an official court reporter and published together with the reported opinions. There is no apparent reason why the same logic would not apply to statutes and regulations. Thus, it must follow from our precedents that statutes and regulations cannot be copyrighted, but accompanying notes lacking legal force can be. See </w:t>
      </w:r>
      <w:hyperlink r:id="rId247" w:history="1">
        <w:r w:rsidRPr="00E50689">
          <w:rPr>
            <w:rFonts w:ascii="Californian FB" w:hAnsi="Californian FB" w:cs="Times New Roman"/>
            <w:i/>
            <w:iCs/>
            <w:color w:val="000000"/>
            <w:sz w:val="24"/>
            <w:szCs w:val="24"/>
          </w:rPr>
          <w:t>Howell v. Miller</w:t>
        </w:r>
        <w:r w:rsidRPr="00E50689">
          <w:rPr>
            <w:rFonts w:ascii="Californian FB" w:hAnsi="Californian FB" w:cs="Times New Roman"/>
            <w:color w:val="000000"/>
            <w:sz w:val="24"/>
            <w:szCs w:val="24"/>
          </w:rPr>
          <w:t>, 91 F. 129 (CA6 1898)</w:t>
        </w:r>
      </w:hyperlink>
      <w:r w:rsidRPr="00E50689">
        <w:rPr>
          <w:rFonts w:ascii="Californian FB" w:hAnsi="Californian FB" w:cs="Times New Roman"/>
          <w:color w:val="000000"/>
          <w:sz w:val="24"/>
          <w:szCs w:val="24"/>
        </w:rPr>
        <w:t xml:space="preserve"> (Harlan, J.) (explaining that, under </w:t>
      </w:r>
      <w:hyperlink r:id="rId248"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xml:space="preserve"> and </w:t>
      </w:r>
      <w:hyperlink r:id="rId249" w:history="1">
        <w:r w:rsidRPr="00E50689">
          <w:rPr>
            <w:rFonts w:ascii="Californian FB" w:hAnsi="Californian FB" w:cs="Times New Roman"/>
            <w:i/>
            <w:iCs/>
            <w:color w:val="000000"/>
            <w:sz w:val="24"/>
            <w:szCs w:val="24"/>
          </w:rPr>
          <w:t>Callaghan</w:t>
        </w:r>
      </w:hyperlink>
      <w:r w:rsidRPr="00E50689">
        <w:rPr>
          <w:rFonts w:ascii="Californian FB" w:hAnsi="Californian FB" w:cs="Times New Roman"/>
          <w:color w:val="000000"/>
          <w:sz w:val="24"/>
          <w:szCs w:val="24"/>
        </w:rPr>
        <w:t>, annotations to Michigan statutes could be copyrighted).</w:t>
      </w:r>
      <w:r>
        <w:rPr>
          <w:rFonts w:ascii="Californian FB" w:hAnsi="Californian FB" w:cs="Times New Roman"/>
          <w:color w:val="000000"/>
          <w:sz w:val="24"/>
          <w:szCs w:val="24"/>
        </w:rPr>
        <w:t xml:space="preserve"> * * *</w:t>
      </w:r>
    </w:p>
    <w:p w14:paraId="7A84AD85"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4F01B08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59" w:name="co_anchor_I6fe735d1b6b911eaa4c6fcfe61768"/>
      <w:bookmarkStart w:id="160" w:name="co_anchor_I6fecdb21b6b911eaa4c6fcfe61768"/>
      <w:bookmarkStart w:id="161" w:name="co_pp_sp_708_1517_1"/>
      <w:bookmarkEnd w:id="159"/>
      <w:bookmarkEnd w:id="160"/>
      <w:bookmarkEnd w:id="161"/>
      <w:r w:rsidRPr="00E50689">
        <w:rPr>
          <w:rFonts w:ascii="Californian FB" w:hAnsi="Californian FB" w:cs="Times New Roman"/>
          <w:color w:val="000000"/>
          <w:sz w:val="24"/>
          <w:szCs w:val="24"/>
        </w:rPr>
        <w:t xml:space="preserve">Allowing annotations to be copyrighted does not run afoul of </w:t>
      </w:r>
      <w:r>
        <w:rPr>
          <w:rFonts w:ascii="Californian FB" w:hAnsi="Californian FB" w:cs="Times New Roman"/>
          <w:color w:val="000000"/>
          <w:sz w:val="24"/>
          <w:szCs w:val="24"/>
        </w:rPr>
        <w:t>[the] possible</w:t>
      </w:r>
      <w:r w:rsidRPr="00E50689">
        <w:rPr>
          <w:rFonts w:ascii="Californian FB" w:hAnsi="Californian FB" w:cs="Times New Roman"/>
          <w:color w:val="000000"/>
          <w:sz w:val="24"/>
          <w:szCs w:val="24"/>
        </w:rPr>
        <w:t xml:space="preserve"> justifications for the government edicts doctrine. First, unlike judicial opinions and statutes, these annotations do not even purport to embody the will of the people because they are not law. The General Assembly of Georgia has made abundantly clear through a variety of provisions that the annotations do not create any binding obligations</w:t>
      </w:r>
      <w:proofErr w:type="gramStart"/>
      <w:r w:rsidRPr="00E50689">
        <w:rPr>
          <w:rFonts w:ascii="Californian FB" w:hAnsi="Californian FB" w:cs="Times New Roman"/>
          <w:color w:val="000000"/>
          <w:sz w:val="24"/>
          <w:szCs w:val="24"/>
        </w:rPr>
        <w:t xml:space="preserve">. </w:t>
      </w:r>
      <w:r>
        <w:rPr>
          <w:rFonts w:ascii="Californian FB" w:hAnsi="Californian FB" w:cs="Times New Roman"/>
          <w:color w:val="000000"/>
          <w:sz w:val="24"/>
          <w:szCs w:val="24"/>
        </w:rPr>
        <w:t>. . .</w:t>
      </w:r>
      <w:proofErr w:type="gramEnd"/>
      <w:r>
        <w:rPr>
          <w:rFonts w:ascii="Californian FB" w:hAnsi="Californian FB" w:cs="Times New Roman"/>
          <w:color w:val="000000"/>
          <w:sz w:val="24"/>
          <w:szCs w:val="24"/>
        </w:rPr>
        <w:t xml:space="preserve"> </w:t>
      </w:r>
      <w:r w:rsidRPr="00E50689">
        <w:rPr>
          <w:rFonts w:ascii="Californian FB" w:hAnsi="Californian FB" w:cs="Times New Roman"/>
          <w:color w:val="000000"/>
          <w:sz w:val="24"/>
          <w:szCs w:val="24"/>
        </w:rPr>
        <w:t>Thus, although the materials “merge” prior to publication in the “official” code, the very provision calling for that merger makes clear that the annotations serve as commentary, not law.</w:t>
      </w:r>
      <w:r>
        <w:rPr>
          <w:rFonts w:ascii="Californian FB" w:hAnsi="Californian FB" w:cs="Times New Roman"/>
          <w:color w:val="000000"/>
          <w:sz w:val="24"/>
          <w:szCs w:val="24"/>
        </w:rPr>
        <w:t xml:space="preserve"> * * *</w:t>
      </w:r>
    </w:p>
    <w:p w14:paraId="0EDD92B2"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55168DD"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Second, unlike judges and legislators, the creators of annotations are incentivized by the copyright laws to produce a desirable product that will eventually earn them a profit. And though the Commission may require Lexis to follow strict guidelines, the independent synthesis, analysis, and creative drafting behind the annotations makes them analogous to other copyrightable materials. </w:t>
      </w:r>
    </w:p>
    <w:p w14:paraId="7F30DAF2"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104C6F00" w14:textId="637EFB56"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Lastly, the annotations do not impede fair notice of the laws. As just stated, the annotations do not carry the binding force of law. They simply summarize independent sources of legal information and consolidate them in one place. Thus, OCGA annotations serve a similar function to other copyrighted research tools provided by private parties such as the American Law Reports and Westlaw, which also contain information of great “practical significance.” Compare,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w:t>
      </w:r>
      <w:hyperlink r:id="rId250" w:history="1">
        <w:r w:rsidRPr="00E50689">
          <w:rPr>
            <w:rFonts w:ascii="Californian FB" w:hAnsi="Californian FB" w:cs="Times New Roman"/>
            <w:color w:val="000000"/>
            <w:sz w:val="24"/>
            <w:szCs w:val="24"/>
          </w:rPr>
          <w:t>OCGA § 34–9–260</w:t>
        </w:r>
      </w:hyperlink>
      <w:r w:rsidRPr="00E50689">
        <w:rPr>
          <w:rFonts w:ascii="Californian FB" w:hAnsi="Californian FB" w:cs="Times New Roman"/>
          <w:color w:val="000000"/>
          <w:sz w:val="24"/>
          <w:szCs w:val="24"/>
        </w:rPr>
        <w:t xml:space="preserve"> (annotation for </w:t>
      </w:r>
      <w:hyperlink r:id="rId251" w:history="1">
        <w:r w:rsidRPr="00E50689">
          <w:rPr>
            <w:rFonts w:ascii="Californian FB" w:hAnsi="Californian FB" w:cs="Times New Roman"/>
            <w:i/>
            <w:iCs/>
            <w:color w:val="000000"/>
            <w:sz w:val="24"/>
            <w:szCs w:val="24"/>
          </w:rPr>
          <w:t>Cho Carwash Property, L.L.C. v. Everett</w:t>
        </w:r>
        <w:r w:rsidRPr="00E50689">
          <w:rPr>
            <w:rFonts w:ascii="Californian FB" w:hAnsi="Californian FB" w:cs="Times New Roman"/>
            <w:color w:val="000000"/>
            <w:sz w:val="24"/>
            <w:szCs w:val="24"/>
          </w:rPr>
          <w:t xml:space="preserve">, 326 </w:t>
        </w:r>
        <w:proofErr w:type="spellStart"/>
        <w:r w:rsidRPr="00E50689">
          <w:rPr>
            <w:rFonts w:ascii="Californian FB" w:hAnsi="Californian FB" w:cs="Times New Roman"/>
            <w:color w:val="000000"/>
            <w:sz w:val="24"/>
            <w:szCs w:val="24"/>
          </w:rPr>
          <w:t>Ga.App</w:t>
        </w:r>
        <w:proofErr w:type="spellEnd"/>
        <w:r w:rsidRPr="00E50689">
          <w:rPr>
            <w:rFonts w:ascii="Californian FB" w:hAnsi="Californian FB" w:cs="Times New Roman"/>
            <w:color w:val="000000"/>
            <w:sz w:val="24"/>
            <w:szCs w:val="24"/>
          </w:rPr>
          <w:t>. 6, 755 S.E.2d 823 (2014)</w:t>
        </w:r>
      </w:hyperlink>
      <w:r w:rsidRPr="00E50689">
        <w:rPr>
          <w:rFonts w:ascii="Californian FB" w:hAnsi="Californian FB" w:cs="Times New Roman"/>
          <w:color w:val="000000"/>
          <w:sz w:val="24"/>
          <w:szCs w:val="24"/>
        </w:rPr>
        <w:t xml:space="preserve">) with </w:t>
      </w:r>
      <w:hyperlink r:id="rId252" w:history="1">
        <w:r w:rsidRPr="00E50689">
          <w:rPr>
            <w:rFonts w:ascii="Californian FB" w:hAnsi="Californian FB" w:cs="Times New Roman"/>
            <w:color w:val="000000"/>
            <w:sz w:val="24"/>
            <w:szCs w:val="24"/>
          </w:rPr>
          <w:t>Ga. Code Ann. § 34–9–260</w:t>
        </w:r>
      </w:hyperlink>
      <w:r w:rsidRPr="00E50689">
        <w:rPr>
          <w:rFonts w:ascii="Californian FB" w:hAnsi="Californian FB" w:cs="Times New Roman"/>
          <w:color w:val="000000"/>
          <w:sz w:val="24"/>
          <w:szCs w:val="24"/>
        </w:rPr>
        <w:t xml:space="preserve"> (Westlaw’s annotation for the same).</w:t>
      </w:r>
    </w:p>
    <w:p w14:paraId="5F4B1ADB"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5F5224D0"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The majority resists this conclusion, suggesting that without access to the annotations, readers of Georgia law will be unable to fully understand the true meaning of Georgia’s statutory provisions, such as provisions that have been undermined or nullified by court decisions.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xml:space="preserve">, at 1512 – 1513. That is simply incorrect. As the majority tacitly concedes, a person seeking information about changes in Georgia statutory law can find that information by consulting the original source for the change in the law’s status—the court decisions themselves. The inability to access the OCGA merely deprives a researcher of one specific tool, not to the underlying factual </w:t>
      </w:r>
      <w:bookmarkStart w:id="162" w:name="co_pp_sp_708_1518_1"/>
      <w:bookmarkEnd w:id="162"/>
      <w:r w:rsidRPr="00E50689">
        <w:rPr>
          <w:rFonts w:ascii="Californian FB" w:hAnsi="Californian FB" w:cs="Times New Roman"/>
          <w:color w:val="000000"/>
          <w:sz w:val="24"/>
          <w:szCs w:val="24"/>
        </w:rPr>
        <w:t xml:space="preserve">or legal </w:t>
      </w:r>
      <w:r w:rsidRPr="00E50689">
        <w:rPr>
          <w:rFonts w:ascii="Californian FB" w:hAnsi="Californian FB" w:cs="Times New Roman"/>
          <w:color w:val="000000"/>
          <w:sz w:val="24"/>
          <w:szCs w:val="24"/>
        </w:rPr>
        <w:lastRenderedPageBreak/>
        <w:t xml:space="preserve">information summarized in that tool. </w:t>
      </w:r>
      <w:bookmarkStart w:id="163" w:name="co_fnRef_B00072050840643_ID0EUFAK_1"/>
      <w:bookmarkEnd w:id="163"/>
      <w:r w:rsidRPr="00E50689">
        <w:rPr>
          <w:rFonts w:ascii="Californian FB" w:hAnsi="Californian FB" w:cs="Times New Roman"/>
          <w:color w:val="000000"/>
          <w:sz w:val="24"/>
          <w:szCs w:val="24"/>
        </w:rPr>
        <w:t xml:space="preserve"> </w:t>
      </w:r>
      <w:bookmarkStart w:id="164" w:name="co_anchor_I6ff2ce91b6b911eaa4c6fcfe61768"/>
      <w:bookmarkEnd w:id="164"/>
    </w:p>
    <w:p w14:paraId="6D5B36EC"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5F56E322" w14:textId="46F57B3D"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The text of the Copyright Act supports my reading of the precedents.</w:t>
      </w:r>
      <w:bookmarkStart w:id="165" w:name="co_fnRef_B00082050840643_ID0EJMAK_1"/>
      <w:bookmarkEnd w:id="165"/>
      <w:r w:rsidRPr="00E50689">
        <w:rPr>
          <w:rFonts w:ascii="Californian FB" w:hAnsi="Californian FB" w:cs="Times New Roman"/>
          <w:color w:val="000000"/>
          <w:sz w:val="24"/>
          <w:szCs w:val="24"/>
        </w:rPr>
        <w:t xml:space="preserve"> Specifically, there are four indications in the text of the Copyright Act that the OCGA annotations are copyrightable. As an initial matter, the Act does not define the word “author,” </w:t>
      </w:r>
      <w:hyperlink r:id="rId253" w:history="1">
        <w:r w:rsidRPr="00E50689">
          <w:rPr>
            <w:rFonts w:ascii="Californian FB" w:hAnsi="Californian FB" w:cs="Times New Roman"/>
            <w:color w:val="000000"/>
            <w:sz w:val="24"/>
            <w:szCs w:val="24"/>
          </w:rPr>
          <w:t>17 U.S.C. § 101</w:t>
        </w:r>
      </w:hyperlink>
      <w:r w:rsidRPr="00E50689">
        <w:rPr>
          <w:rFonts w:ascii="Californian FB" w:hAnsi="Californian FB" w:cs="Times New Roman"/>
          <w:color w:val="000000"/>
          <w:sz w:val="24"/>
          <w:szCs w:val="24"/>
        </w:rPr>
        <w:t xml:space="preserve">, or make any reference to the government edicts doctrine. Accordingly, the term “author” itself does not shed any light on whether the doctrine covers statutory annotations. Second, while the Act excludes from copyright protection “work[s] prepared by an officer or employee of the United States Government as part of that person’s official duties,” </w:t>
      </w:r>
      <w:hyperlink r:id="rId254" w:history="1">
        <w:r w:rsidRPr="00E50689">
          <w:rPr>
            <w:rFonts w:ascii="Californian FB" w:hAnsi="Californian FB" w:cs="Times New Roman"/>
            <w:color w:val="000000"/>
            <w:sz w:val="24"/>
            <w:szCs w:val="24"/>
          </w:rPr>
          <w:t>§ 101</w:t>
        </w:r>
      </w:hyperlink>
      <w:r w:rsidRPr="00E50689">
        <w:rPr>
          <w:rFonts w:ascii="Californian FB" w:hAnsi="Californian FB" w:cs="Times New Roman"/>
          <w:color w:val="000000"/>
          <w:sz w:val="24"/>
          <w:szCs w:val="24"/>
        </w:rPr>
        <w:t xml:space="preserve">; see also § 105, the Act contains no similar prohibition against works of state governments or works prepared at their behest. “Congress’ use of explicit language in one provision cautions against inferring the same limitation” elsewhere in the statute. </w:t>
      </w:r>
      <w:hyperlink r:id="rId255" w:history="1">
        <w:r w:rsidRPr="00E50689">
          <w:rPr>
            <w:rFonts w:ascii="Californian FB" w:hAnsi="Californian FB" w:cs="Times New Roman"/>
            <w:i/>
            <w:iCs/>
            <w:color w:val="000000"/>
            <w:sz w:val="24"/>
            <w:szCs w:val="24"/>
          </w:rPr>
          <w:t>State Farm Fire &amp; Casualty Co.</w:t>
        </w:r>
        <w:r w:rsidRPr="00E50689">
          <w:rPr>
            <w:rFonts w:ascii="Californian FB" w:hAnsi="Californian FB" w:cs="Times New Roman"/>
            <w:color w:val="000000"/>
            <w:sz w:val="24"/>
            <w:szCs w:val="24"/>
          </w:rPr>
          <w:t xml:space="preserve"> v. </w:t>
        </w:r>
        <w:r w:rsidRPr="00E50689">
          <w:rPr>
            <w:rFonts w:ascii="Californian FB" w:hAnsi="Californian FB" w:cs="Times New Roman"/>
            <w:i/>
            <w:iCs/>
            <w:color w:val="000000"/>
            <w:sz w:val="24"/>
            <w:szCs w:val="24"/>
          </w:rPr>
          <w:t>United States ex rel. Rigsby</w:t>
        </w:r>
        <w:r w:rsidRPr="00E50689">
          <w:rPr>
            <w:rFonts w:ascii="Californian FB" w:hAnsi="Californian FB" w:cs="Times New Roman"/>
            <w:color w:val="000000"/>
            <w:sz w:val="24"/>
            <w:szCs w:val="24"/>
          </w:rPr>
          <w:t xml:space="preserve">, 580 U.S. ––––, ––––, 137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436, 442, 196 L.Ed.2d 340 (2016)</w:t>
        </w:r>
      </w:hyperlink>
      <w:r w:rsidRPr="00E50689">
        <w:rPr>
          <w:rFonts w:ascii="Californian FB" w:hAnsi="Californian FB" w:cs="Times New Roman"/>
          <w:color w:val="000000"/>
          <w:sz w:val="24"/>
          <w:szCs w:val="24"/>
        </w:rPr>
        <w:t xml:space="preserve">. Third, the Act specifically notes that annotations are copyrightable derivative works. </w:t>
      </w:r>
      <w:hyperlink r:id="rId256" w:history="1">
        <w:r w:rsidRPr="00E50689">
          <w:rPr>
            <w:rFonts w:ascii="Californian FB" w:hAnsi="Californian FB" w:cs="Times New Roman"/>
            <w:color w:val="000000"/>
            <w:sz w:val="24"/>
            <w:szCs w:val="24"/>
          </w:rPr>
          <w:t>§ 101</w:t>
        </w:r>
      </w:hyperlink>
      <w:r w:rsidRPr="00E50689">
        <w:rPr>
          <w:rFonts w:ascii="Californian FB" w:hAnsi="Californian FB" w:cs="Times New Roman"/>
          <w:color w:val="000000"/>
          <w:sz w:val="24"/>
          <w:szCs w:val="24"/>
        </w:rPr>
        <w:t>. Here, again, the Act does not expressly exclude from copyright protection annotations created either by the State or at the State’s request. Fourth, the Act provides that an author may hold a copyright in “material contributed” in a derivative work, “as distinguished from the preexisting material employed in the work.” § 103(b); These aspects of the statutory text, taken together, further support the conclusion that the OCGA annotations are copyrightable.</w:t>
      </w:r>
    </w:p>
    <w:p w14:paraId="235482AB"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7C25A280" w14:textId="77777777" w:rsidR="00260C60" w:rsidRDefault="00260C60" w:rsidP="00D95621">
      <w:pPr>
        <w:widowControl w:val="0"/>
        <w:autoSpaceDE w:val="0"/>
        <w:autoSpaceDN w:val="0"/>
        <w:adjustRightInd w:val="0"/>
        <w:spacing w:after="0" w:line="240" w:lineRule="auto"/>
        <w:ind w:firstLine="360"/>
        <w:jc w:val="center"/>
        <w:rPr>
          <w:rFonts w:ascii="Californian FB" w:hAnsi="Californian FB" w:cs="Times New Roman"/>
          <w:color w:val="000000"/>
          <w:sz w:val="24"/>
          <w:szCs w:val="24"/>
        </w:rPr>
      </w:pPr>
      <w:r>
        <w:rPr>
          <w:rFonts w:ascii="Californian FB" w:hAnsi="Californian FB" w:cs="Times New Roman"/>
          <w:color w:val="000000"/>
          <w:sz w:val="24"/>
          <w:szCs w:val="24"/>
        </w:rPr>
        <w:t>* * *</w:t>
      </w:r>
      <w:r w:rsidRPr="00E50689">
        <w:rPr>
          <w:rFonts w:ascii="Californian FB" w:hAnsi="Californian FB" w:cs="Times New Roman"/>
          <w:color w:val="000000"/>
          <w:sz w:val="24"/>
          <w:szCs w:val="24"/>
        </w:rPr>
        <w:t>.</w:t>
      </w:r>
    </w:p>
    <w:p w14:paraId="4AD7F42C"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59BF1692" w14:textId="52859CD0"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bookmarkStart w:id="166" w:name="co_anchor_I6ff5b4c1b6b911eaa4c6fcfe61768"/>
      <w:bookmarkStart w:id="167" w:name="co_pp_sp_708_1519_1"/>
      <w:bookmarkStart w:id="168" w:name="co_anchor_I6ffedc81b6b911eaa4c6fcfe61768"/>
      <w:bookmarkEnd w:id="166"/>
      <w:bookmarkEnd w:id="167"/>
      <w:bookmarkEnd w:id="168"/>
      <w:r w:rsidRPr="00E50689">
        <w:rPr>
          <w:rFonts w:ascii="Californian FB" w:hAnsi="Californian FB" w:cs="Times New Roman"/>
          <w:color w:val="000000"/>
          <w:sz w:val="24"/>
          <w:szCs w:val="24"/>
        </w:rPr>
        <w:t xml:space="preserve">In addition to its textual deficiencies, the majority’s understanding of this Court’s precedents fails to account for the critical differences between the role </w:t>
      </w:r>
      <w:proofErr w:type="gramStart"/>
      <w:r w:rsidRPr="00E50689">
        <w:rPr>
          <w:rFonts w:ascii="Californian FB" w:hAnsi="Californian FB" w:cs="Times New Roman"/>
          <w:color w:val="000000"/>
          <w:sz w:val="24"/>
          <w:szCs w:val="24"/>
        </w:rPr>
        <w:t>that judicial opinions</w:t>
      </w:r>
      <w:proofErr w:type="gramEnd"/>
      <w:r w:rsidRPr="00E50689">
        <w:rPr>
          <w:rFonts w:ascii="Californian FB" w:hAnsi="Californian FB" w:cs="Times New Roman"/>
          <w:color w:val="000000"/>
          <w:sz w:val="24"/>
          <w:szCs w:val="24"/>
        </w:rPr>
        <w:t xml:space="preserve"> play in expounding upon the law compared to that of statutes. The majority finds it meaningful, for instance, that </w:t>
      </w:r>
      <w:hyperlink r:id="rId257"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xml:space="preserve"> prohibited dissents and concurrences from being copyrighted, even though they carry no legal force. At an elementary level, it is true that the judgment is the only part of a judicial decision that has legal effect. But it blinks reality to ignore that every word of a judicial opinion—whether it is a majority, a concurrence, or a dissent—expounds upon the law in ways that do not map neatly on to the legislative function. Setting aside summary decisions, the reader of a judicial opinion will always gain critical insight into the reasoning underlying a judicial holding by reading all opinions in their entirety. Understanding the reasoning that animates the rule in turn provides pivotal insight into how the law will likely be applied in future judicial opinions.</w:t>
      </w:r>
      <w:bookmarkStart w:id="169" w:name="co_fnRef_B00112050840643_ID0E4GBK_1"/>
      <w:bookmarkEnd w:id="169"/>
      <w:r w:rsidRPr="00E50689">
        <w:rPr>
          <w:rFonts w:ascii="Californian FB" w:hAnsi="Californian FB" w:cs="Times New Roman"/>
          <w:color w:val="000000"/>
          <w:sz w:val="24"/>
          <w:szCs w:val="24"/>
        </w:rPr>
        <w:t xml:space="preserve"> Thus, deprived of access to judicial </w:t>
      </w:r>
      <w:bookmarkStart w:id="170" w:name="co_pp_sp_708_1521_1"/>
      <w:bookmarkEnd w:id="170"/>
      <w:r w:rsidRPr="00E50689">
        <w:rPr>
          <w:rFonts w:ascii="Californian FB" w:hAnsi="Californian FB" w:cs="Times New Roman"/>
          <w:color w:val="000000"/>
          <w:sz w:val="24"/>
          <w:szCs w:val="24"/>
        </w:rPr>
        <w:t>opinions, individuals cannot access the primary, and therefore best, source of information for the meaning of the law</w:t>
      </w:r>
      <w:proofErr w:type="gramStart"/>
      <w:r w:rsidRPr="00E50689">
        <w:rPr>
          <w:rFonts w:ascii="Californian FB" w:hAnsi="Californian FB" w:cs="Times New Roman"/>
          <w:color w:val="000000"/>
          <w:sz w:val="24"/>
          <w:szCs w:val="24"/>
        </w:rPr>
        <w:t>.</w:t>
      </w:r>
      <w:bookmarkStart w:id="171" w:name="co_fnRef_B00122050840643_ID0EMHBK_1"/>
      <w:bookmarkEnd w:id="171"/>
      <w:r>
        <w:rPr>
          <w:rFonts w:ascii="Californian FB" w:hAnsi="Californian FB" w:cs="Times New Roman"/>
          <w:color w:val="000000"/>
          <w:sz w:val="24"/>
          <w:szCs w:val="24"/>
        </w:rPr>
        <w:t xml:space="preserve"> . . .</w:t>
      </w:r>
      <w:proofErr w:type="gramEnd"/>
      <w:r w:rsidRPr="00E50689">
        <w:rPr>
          <w:rFonts w:ascii="Californian FB" w:hAnsi="Californian FB" w:cs="Times New Roman"/>
          <w:color w:val="000000"/>
          <w:sz w:val="24"/>
          <w:szCs w:val="24"/>
        </w:rPr>
        <w:t xml:space="preserve"> </w:t>
      </w:r>
    </w:p>
    <w:p w14:paraId="12D1D009"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16269974" w14:textId="6ADDC69B"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72" w:name="co_footnote_B00122050840643_1"/>
      <w:bookmarkEnd w:id="172"/>
      <w:r w:rsidRPr="00E50689">
        <w:rPr>
          <w:rFonts w:ascii="Californian FB" w:hAnsi="Californian FB" w:cs="Times New Roman"/>
          <w:color w:val="000000"/>
          <w:sz w:val="24"/>
          <w:szCs w:val="24"/>
        </w:rPr>
        <w:t xml:space="preserve">These differences provide crucial context for </w:t>
      </w:r>
      <w:hyperlink r:id="rId258" w:history="1">
        <w:r w:rsidRPr="00E50689">
          <w:rPr>
            <w:rFonts w:ascii="Californian FB" w:hAnsi="Californian FB" w:cs="Times New Roman"/>
            <w:i/>
            <w:iCs/>
            <w:color w:val="000000"/>
            <w:sz w:val="24"/>
            <w:szCs w:val="24"/>
          </w:rPr>
          <w:t>Banks</w:t>
        </w:r>
      </w:hyperlink>
      <w:r w:rsidRPr="00E50689">
        <w:rPr>
          <w:rFonts w:ascii="Californian FB" w:hAnsi="Californian FB" w:cs="Times New Roman"/>
          <w:color w:val="000000"/>
          <w:sz w:val="24"/>
          <w:szCs w:val="24"/>
        </w:rPr>
        <w:t xml:space="preserve">’ reasoning. Specifically, to ensure that judicial “exposition and interpretation of the law” remains “free for publication to all,” the word “author” must be read to encompass all judicial </w:t>
      </w:r>
      <w:proofErr w:type="spellStart"/>
      <w:proofErr w:type="gramStart"/>
      <w:r w:rsidRPr="00E50689">
        <w:rPr>
          <w:rFonts w:ascii="Californian FB" w:hAnsi="Californian FB" w:cs="Times New Roman"/>
          <w:color w:val="000000"/>
          <w:sz w:val="24"/>
          <w:szCs w:val="24"/>
        </w:rPr>
        <w:t>duties.</w:t>
      </w:r>
      <w:r>
        <w:rPr>
          <w:rFonts w:ascii="Californian FB" w:hAnsi="Californian FB" w:cs="Times New Roman"/>
          <w:color w:val="000000"/>
          <w:sz w:val="24"/>
          <w:szCs w:val="24"/>
        </w:rPr>
        <w:t>B</w:t>
      </w:r>
      <w:r w:rsidRPr="00E50689">
        <w:rPr>
          <w:rFonts w:ascii="Californian FB" w:hAnsi="Californian FB" w:cs="Times New Roman"/>
          <w:color w:val="000000"/>
          <w:sz w:val="24"/>
          <w:szCs w:val="24"/>
        </w:rPr>
        <w:t>ut</w:t>
      </w:r>
      <w:proofErr w:type="spellEnd"/>
      <w:proofErr w:type="gramEnd"/>
      <w:r w:rsidRPr="00E50689">
        <w:rPr>
          <w:rFonts w:ascii="Californian FB" w:hAnsi="Californian FB" w:cs="Times New Roman"/>
          <w:color w:val="000000"/>
          <w:sz w:val="24"/>
          <w:szCs w:val="24"/>
        </w:rPr>
        <w:t xml:space="preserve"> these differences also demonstrate that the same rule does not </w:t>
      </w:r>
      <w:r w:rsidRPr="00E50689">
        <w:rPr>
          <w:rFonts w:ascii="Californian FB" w:hAnsi="Californian FB" w:cs="Times New Roman"/>
          <w:i/>
          <w:iCs/>
          <w:color w:val="000000"/>
          <w:sz w:val="24"/>
          <w:szCs w:val="24"/>
        </w:rPr>
        <w:t xml:space="preserve">a fortiori </w:t>
      </w:r>
      <w:r w:rsidRPr="00E50689">
        <w:rPr>
          <w:rFonts w:ascii="Californian FB" w:hAnsi="Californian FB" w:cs="Times New Roman"/>
          <w:color w:val="000000"/>
          <w:sz w:val="24"/>
          <w:szCs w:val="24"/>
        </w:rPr>
        <w:t>apply to all legislative duties.</w:t>
      </w:r>
      <w:bookmarkStart w:id="173" w:name="co_fnRef_B00132050840643_ID0EDZBK_1"/>
      <w:bookmarkEnd w:id="173"/>
      <w:r>
        <w:rPr>
          <w:rStyle w:val="FootnoteReference"/>
          <w:rFonts w:ascii="Californian FB" w:hAnsi="Californian FB" w:cs="Times New Roman"/>
          <w:color w:val="000000"/>
          <w:sz w:val="24"/>
          <w:szCs w:val="24"/>
        </w:rPr>
        <w:footnoteReference w:customMarkFollows="1" w:id="1"/>
        <w:t>8</w:t>
      </w:r>
      <w:r w:rsidRPr="00E50689">
        <w:rPr>
          <w:rFonts w:ascii="Californian FB" w:hAnsi="Californian FB" w:cs="Times New Roman"/>
          <w:color w:val="000000"/>
          <w:sz w:val="24"/>
          <w:szCs w:val="24"/>
        </w:rPr>
        <w:t xml:space="preserve"> </w:t>
      </w:r>
    </w:p>
    <w:p w14:paraId="61D9A2BF" w14:textId="77777777" w:rsidR="00260C60" w:rsidRPr="00E50689" w:rsidRDefault="00260C60" w:rsidP="00D95621">
      <w:pPr>
        <w:widowControl w:val="0"/>
        <w:autoSpaceDE w:val="0"/>
        <w:autoSpaceDN w:val="0"/>
        <w:adjustRightInd w:val="0"/>
        <w:spacing w:after="0" w:line="240" w:lineRule="auto"/>
        <w:ind w:firstLine="360"/>
        <w:jc w:val="center"/>
        <w:rPr>
          <w:rFonts w:ascii="Californian FB" w:hAnsi="Californian FB" w:cs="Times New Roman"/>
          <w:color w:val="000000"/>
          <w:sz w:val="24"/>
          <w:szCs w:val="24"/>
        </w:rPr>
      </w:pPr>
      <w:bookmarkStart w:id="174" w:name="co_anchor_I7008c791b6b911eaa4c6fcfe61768"/>
      <w:bookmarkStart w:id="175" w:name="co_anchor_I7006a4b1b6b911eaa4c6fcfe61768"/>
      <w:bookmarkEnd w:id="174"/>
      <w:bookmarkEnd w:id="175"/>
      <w:r w:rsidRPr="00E50689">
        <w:rPr>
          <w:rFonts w:ascii="Californian FB" w:hAnsi="Californian FB" w:cs="Times New Roman"/>
          <w:color w:val="000000"/>
          <w:sz w:val="24"/>
          <w:szCs w:val="24"/>
        </w:rPr>
        <w:lastRenderedPageBreak/>
        <w:t>* * *</w:t>
      </w:r>
    </w:p>
    <w:p w14:paraId="75456EA6"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03B2BA6A"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28290C">
        <w:rPr>
          <w:rFonts w:ascii="Californian FB" w:hAnsi="Californian FB" w:cs="Times New Roman"/>
          <w:color w:val="000000"/>
          <w:sz w:val="24"/>
          <w:szCs w:val="24"/>
        </w:rPr>
        <w:t xml:space="preserve">The majority’s rule will leave in the lurch the many States, private parties, and legal researchers who relied on the previously bright-line rule. Perhaps, to the detriment of all, many States will stop producing annotated codes altogether. Were that to occur, the majority’s fear of an “economy-class” version of the law will truly become a reality. See </w:t>
      </w:r>
      <w:r w:rsidRPr="0028290C">
        <w:rPr>
          <w:rFonts w:ascii="Californian FB" w:hAnsi="Californian FB" w:cs="Times New Roman"/>
          <w:i/>
          <w:iCs/>
          <w:color w:val="000000"/>
          <w:sz w:val="24"/>
          <w:szCs w:val="24"/>
        </w:rPr>
        <w:t>ante</w:t>
      </w:r>
      <w:r w:rsidRPr="0028290C">
        <w:rPr>
          <w:rFonts w:ascii="Californian FB" w:hAnsi="Californian FB" w:cs="Times New Roman"/>
          <w:color w:val="000000"/>
          <w:sz w:val="24"/>
          <w:szCs w:val="24"/>
        </w:rPr>
        <w:t>, at 1512 – 1513. As Georgia explains, its contract enables the OCGA to be sold at a fraction of the cost of competing annotated codes.</w:t>
      </w:r>
      <w:r w:rsidRPr="00E50689">
        <w:rPr>
          <w:rFonts w:ascii="Californian FB" w:hAnsi="Californian FB" w:cs="Times New Roman"/>
          <w:color w:val="000000"/>
          <w:sz w:val="24"/>
          <w:szCs w:val="24"/>
        </w:rPr>
        <w:t xml:space="preserve"> For example, Georgia asserts that Lexis sold the OCGA for $404 in 2016, while West Publishing’s competing annotated code sold for $2,570. Should state annotated codes disappear, those without the means to pay the competitor’s significantly higher price tag will have a valuable research tool taken away from them. Meanwhile, this Court, which is privileged to have access to numerous research resources, will scarcely notice.</w:t>
      </w:r>
      <w:r>
        <w:rPr>
          <w:rFonts w:ascii="Californian FB" w:hAnsi="Californian FB" w:cs="Times New Roman"/>
          <w:color w:val="000000"/>
          <w:sz w:val="24"/>
          <w:szCs w:val="24"/>
        </w:rPr>
        <w:t xml:space="preserve"> * * *</w:t>
      </w:r>
    </w:p>
    <w:p w14:paraId="7AA61B6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5175D5F2" w14:textId="308DF0E1" w:rsidR="00260C60" w:rsidRPr="00E50689" w:rsidRDefault="00260C60" w:rsidP="00D95621">
      <w:pPr>
        <w:widowControl w:val="0"/>
        <w:autoSpaceDE w:val="0"/>
        <w:autoSpaceDN w:val="0"/>
        <w:adjustRightInd w:val="0"/>
        <w:spacing w:after="0" w:line="240" w:lineRule="auto"/>
        <w:ind w:firstLine="360"/>
        <w:rPr>
          <w:rFonts w:ascii="Californian FB" w:hAnsi="Californian FB" w:cs="Times New Roman"/>
          <w:color w:val="000000"/>
          <w:sz w:val="24"/>
          <w:szCs w:val="24"/>
        </w:rPr>
      </w:pPr>
      <w:bookmarkStart w:id="176" w:name="co_dissent_opinion_0_1"/>
      <w:bookmarkEnd w:id="176"/>
      <w:r w:rsidRPr="00E50689">
        <w:rPr>
          <w:rFonts w:ascii="Californian FB" w:hAnsi="Californian FB" w:cs="Times New Roman"/>
          <w:color w:val="000000"/>
          <w:sz w:val="24"/>
          <w:szCs w:val="24"/>
        </w:rPr>
        <w:t xml:space="preserve">Justice </w:t>
      </w:r>
      <w:hyperlink r:id="rId259" w:history="1">
        <w:r w:rsidRPr="00E50689">
          <w:rPr>
            <w:rFonts w:ascii="Californian FB" w:hAnsi="Californian FB" w:cs="Times New Roman"/>
            <w:color w:val="000000"/>
            <w:sz w:val="24"/>
            <w:szCs w:val="24"/>
          </w:rPr>
          <w:t>GINSBURG</w:t>
        </w:r>
      </w:hyperlink>
      <w:r w:rsidRPr="00E50689">
        <w:rPr>
          <w:rFonts w:ascii="Californian FB" w:hAnsi="Californian FB" w:cs="Times New Roman"/>
          <w:color w:val="000000"/>
          <w:sz w:val="24"/>
          <w:szCs w:val="24"/>
        </w:rPr>
        <w:t xml:space="preserve">, with whom Justice </w:t>
      </w:r>
      <w:hyperlink r:id="rId260" w:history="1">
        <w:r w:rsidRPr="00E50689">
          <w:rPr>
            <w:rFonts w:ascii="Californian FB" w:hAnsi="Californian FB" w:cs="Times New Roman"/>
            <w:color w:val="000000"/>
            <w:sz w:val="24"/>
            <w:szCs w:val="24"/>
          </w:rPr>
          <w:t>BREYER</w:t>
        </w:r>
      </w:hyperlink>
      <w:r w:rsidRPr="00E50689">
        <w:rPr>
          <w:rFonts w:ascii="Californian FB" w:hAnsi="Californian FB" w:cs="Times New Roman"/>
          <w:color w:val="000000"/>
          <w:sz w:val="24"/>
          <w:szCs w:val="24"/>
        </w:rPr>
        <w:t xml:space="preserve"> joins, dissenting.</w:t>
      </w:r>
    </w:p>
    <w:p w14:paraId="309D8041"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bookmarkStart w:id="177" w:name="co_anchor_I700b1183b6b911eaa4c6fcfe61768"/>
      <w:bookmarkEnd w:id="177"/>
    </w:p>
    <w:p w14:paraId="254E013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Beyond doubt, state laws are not copyrightable. Nor are other materials created by state legislators in the course of performing their lawmaking responsibilities,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legislative committee reports, floor statements, unenacted bills.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xml:space="preserve">, at 1517 – 1518. Not all </w:t>
      </w:r>
      <w:proofErr w:type="gramStart"/>
      <w:r w:rsidRPr="00E50689">
        <w:rPr>
          <w:rFonts w:ascii="Californian FB" w:hAnsi="Californian FB" w:cs="Times New Roman"/>
          <w:color w:val="000000"/>
          <w:sz w:val="24"/>
          <w:szCs w:val="24"/>
        </w:rPr>
        <w:t>that legislators</w:t>
      </w:r>
      <w:proofErr w:type="gramEnd"/>
      <w:r w:rsidRPr="00E50689">
        <w:rPr>
          <w:rFonts w:ascii="Californian FB" w:hAnsi="Californian FB" w:cs="Times New Roman"/>
          <w:color w:val="000000"/>
          <w:sz w:val="24"/>
          <w:szCs w:val="24"/>
        </w:rPr>
        <w:t xml:space="preserve"> do, however, </w:t>
      </w:r>
      <w:bookmarkStart w:id="178" w:name="co_pp_sp_708_1523_1"/>
      <w:bookmarkEnd w:id="178"/>
      <w:r w:rsidRPr="00E50689">
        <w:rPr>
          <w:rFonts w:ascii="Californian FB" w:hAnsi="Californian FB" w:cs="Times New Roman"/>
          <w:color w:val="000000"/>
          <w:sz w:val="24"/>
          <w:szCs w:val="24"/>
        </w:rPr>
        <w:t xml:space="preserve">is ineligible for copyright protection; the government edicts doctrine shields only “works that are (1) created by judges and legislators (2) </w:t>
      </w:r>
      <w:r w:rsidRPr="00E50689">
        <w:rPr>
          <w:rFonts w:ascii="Californian FB" w:hAnsi="Californian FB" w:cs="Times New Roman"/>
          <w:i/>
          <w:iCs/>
          <w:color w:val="000000"/>
          <w:sz w:val="24"/>
          <w:szCs w:val="24"/>
        </w:rPr>
        <w:t>in the course of their judicial and legislative duties</w:t>
      </w:r>
      <w:r w:rsidRPr="00E50689">
        <w:rPr>
          <w:rFonts w:ascii="Californian FB" w:hAnsi="Californian FB" w:cs="Times New Roman"/>
          <w:color w:val="000000"/>
          <w:sz w:val="24"/>
          <w:szCs w:val="24"/>
        </w:rPr>
        <w:t xml:space="preserve">.”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at 1508 (emphasis added). The core question this case presents, as I see it: Are the annotations in the Official Code of Georgia Annotated (OCGA) done in a legislative capacity? The answer, I am persuaded, should be no.</w:t>
      </w:r>
    </w:p>
    <w:p w14:paraId="3C90D539"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1B50C16D" w14:textId="623B1C15"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To explain why, I proceed from common ground. All agree that headnotes and syllabi for judicial opinions—both a kind of annotation—are copyrightable when created by a reporter of decisions, </w:t>
      </w:r>
      <w:hyperlink r:id="rId261" w:anchor="co_pp_sp_780_645" w:history="1">
        <w:r w:rsidRPr="00E50689">
          <w:rPr>
            <w:rFonts w:ascii="Californian FB" w:hAnsi="Californian FB" w:cs="Times New Roman"/>
            <w:i/>
            <w:iCs/>
            <w:color w:val="000000"/>
            <w:sz w:val="24"/>
            <w:szCs w:val="24"/>
          </w:rPr>
          <w:t>Callaghan v. Myers</w:t>
        </w:r>
        <w:r w:rsidRPr="00E50689">
          <w:rPr>
            <w:rFonts w:ascii="Californian FB" w:hAnsi="Californian FB" w:cs="Times New Roman"/>
            <w:color w:val="000000"/>
            <w:sz w:val="24"/>
            <w:szCs w:val="24"/>
          </w:rPr>
          <w:t xml:space="preserve">, 128 U.S. 617, 645–650,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177, 32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547 (1888)</w:t>
        </w:r>
      </w:hyperlink>
      <w:r w:rsidRPr="00E50689">
        <w:rPr>
          <w:rFonts w:ascii="Californian FB" w:hAnsi="Californian FB" w:cs="Times New Roman"/>
          <w:color w:val="000000"/>
          <w:sz w:val="24"/>
          <w:szCs w:val="24"/>
        </w:rPr>
        <w:t xml:space="preserve">, but are not copyrightable when created by judges, </w:t>
      </w:r>
      <w:hyperlink r:id="rId262" w:anchor="co_pp_sp_780_253" w:history="1">
        <w:r w:rsidRPr="00E50689">
          <w:rPr>
            <w:rFonts w:ascii="Californian FB" w:hAnsi="Californian FB" w:cs="Times New Roman"/>
            <w:i/>
            <w:iCs/>
            <w:color w:val="000000"/>
            <w:sz w:val="24"/>
            <w:szCs w:val="24"/>
          </w:rPr>
          <w:t>Banks v. Manchester</w:t>
        </w:r>
        <w:r w:rsidRPr="00E50689">
          <w:rPr>
            <w:rFonts w:ascii="Californian FB" w:hAnsi="Californian FB" w:cs="Times New Roman"/>
            <w:color w:val="000000"/>
            <w:sz w:val="24"/>
            <w:szCs w:val="24"/>
          </w:rPr>
          <w:t xml:space="preserve">, 128 U.S. 244, 253, 9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36, 32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425 (1888)</w:t>
        </w:r>
      </w:hyperlink>
      <w:r w:rsidRPr="00E50689">
        <w:rPr>
          <w:rFonts w:ascii="Californian FB" w:hAnsi="Californian FB" w:cs="Times New Roman"/>
          <w:color w:val="000000"/>
          <w:sz w:val="24"/>
          <w:szCs w:val="24"/>
        </w:rPr>
        <w:t xml:space="preserve">. That is so because “[t]he whole work done by ... judges,” </w:t>
      </w:r>
      <w:hyperlink r:id="rId263" w:history="1">
        <w:r w:rsidRPr="00E50689">
          <w:rPr>
            <w:rFonts w:ascii="Californian FB" w:hAnsi="Californian FB" w:cs="Times New Roman"/>
            <w:i/>
            <w:iCs/>
            <w:color w:val="000000"/>
            <w:sz w:val="24"/>
            <w:szCs w:val="24"/>
          </w:rPr>
          <w:t>ibid.</w:t>
        </w:r>
        <w:r w:rsidRPr="00E50689">
          <w:rPr>
            <w:rFonts w:ascii="Californian FB" w:hAnsi="Californian FB" w:cs="Times New Roman"/>
            <w:color w:val="000000"/>
            <w:sz w:val="24"/>
            <w:szCs w:val="24"/>
          </w:rPr>
          <w:t>,</w:t>
        </w:r>
      </w:hyperlink>
      <w:r w:rsidRPr="00E50689">
        <w:rPr>
          <w:rFonts w:ascii="Californian FB" w:hAnsi="Californian FB" w:cs="Times New Roman"/>
          <w:color w:val="000000"/>
          <w:sz w:val="24"/>
          <w:szCs w:val="24"/>
        </w:rPr>
        <w:t xml:space="preserve"> including dissenting and concurring opinions, ranks as work performed in their judicial capacity. Judges do not outsource their writings to “arm[s]” or “adjunct[s],” cf.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at 1508, 1509, to be composed in their stead. Accordingly, the judicial opinion-drafting process in its entirety—including the drafting of headnotes and syllabi, in jurisdictions where that is done by judges—falls outside the reach of copyright protection.</w:t>
      </w:r>
    </w:p>
    <w:p w14:paraId="041944A6"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586B43CF" w14:textId="086AD383"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One might ask: If a judge’s annotations are not copyrightable, why are those created by legislators? The answer lies in the difference between the role of a judge and the role of a legislator. “[T]o the judiciary” we assign “the duty of interpreting and applying” the law, </w:t>
      </w:r>
      <w:hyperlink r:id="rId264" w:anchor="co_pp_sp_780_488" w:history="1">
        <w:r w:rsidRPr="00E50689">
          <w:rPr>
            <w:rFonts w:ascii="Californian FB" w:hAnsi="Californian FB" w:cs="Times New Roman"/>
            <w:i/>
            <w:iCs/>
            <w:color w:val="000000"/>
            <w:sz w:val="24"/>
            <w:szCs w:val="24"/>
          </w:rPr>
          <w:t>Massachusetts v. Mellon</w:t>
        </w:r>
        <w:r w:rsidRPr="00E50689">
          <w:rPr>
            <w:rFonts w:ascii="Californian FB" w:hAnsi="Californian FB" w:cs="Times New Roman"/>
            <w:color w:val="000000"/>
            <w:sz w:val="24"/>
            <w:szCs w:val="24"/>
          </w:rPr>
          <w:t xml:space="preserve">, 262 U.S. 447, 488, 43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xml:space="preserve">. 597, 67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1078 (1923)</w:t>
        </w:r>
      </w:hyperlink>
      <w:r w:rsidRPr="00E50689">
        <w:rPr>
          <w:rFonts w:ascii="Californian FB" w:hAnsi="Californian FB" w:cs="Times New Roman"/>
          <w:color w:val="000000"/>
          <w:sz w:val="24"/>
          <w:szCs w:val="24"/>
        </w:rPr>
        <w:t xml:space="preserve">, and sometimes making the applicable law, see Friendly, In Praise of </w:t>
      </w:r>
      <w:r w:rsidRPr="00E50689">
        <w:rPr>
          <w:rFonts w:ascii="Californian FB" w:hAnsi="Californian FB" w:cs="Times New Roman"/>
          <w:i/>
          <w:iCs/>
          <w:color w:val="000000"/>
          <w:sz w:val="24"/>
          <w:szCs w:val="24"/>
        </w:rPr>
        <w:t>Erie</w:t>
      </w:r>
      <w:r w:rsidRPr="00E50689">
        <w:rPr>
          <w:rFonts w:ascii="Californian FB" w:hAnsi="Californian FB" w:cs="Times New Roman"/>
          <w:color w:val="000000"/>
          <w:sz w:val="24"/>
          <w:szCs w:val="24"/>
        </w:rPr>
        <w:t xml:space="preserve">—and of the New Federal Common Law, 39 N. Y. U. L. Rev. 383 </w:t>
      </w:r>
      <w:r w:rsidRPr="00E50689">
        <w:rPr>
          <w:rFonts w:ascii="Californian FB" w:hAnsi="Californian FB" w:cs="Times New Roman"/>
          <w:color w:val="000000"/>
          <w:sz w:val="24"/>
          <w:szCs w:val="24"/>
        </w:rPr>
        <w:lastRenderedPageBreak/>
        <w:t xml:space="preserve">(1964). See also </w:t>
      </w:r>
      <w:hyperlink r:id="rId265" w:anchor="co_pp_sp_780_177" w:history="1">
        <w:r w:rsidRPr="00E50689">
          <w:rPr>
            <w:rFonts w:ascii="Californian FB" w:hAnsi="Californian FB" w:cs="Times New Roman"/>
            <w:i/>
            <w:iCs/>
            <w:color w:val="000000"/>
            <w:sz w:val="24"/>
            <w:szCs w:val="24"/>
          </w:rPr>
          <w:t>Marbury v. Madison</w:t>
        </w:r>
        <w:r w:rsidRPr="00E50689">
          <w:rPr>
            <w:rFonts w:ascii="Californian FB" w:hAnsi="Californian FB" w:cs="Times New Roman"/>
            <w:color w:val="000000"/>
            <w:sz w:val="24"/>
            <w:szCs w:val="24"/>
          </w:rPr>
          <w:t xml:space="preserve">, 1 </w:t>
        </w:r>
        <w:proofErr w:type="spellStart"/>
        <w:r w:rsidRPr="00E50689">
          <w:rPr>
            <w:rFonts w:ascii="Californian FB" w:hAnsi="Californian FB" w:cs="Times New Roman"/>
            <w:color w:val="000000"/>
            <w:sz w:val="24"/>
            <w:szCs w:val="24"/>
          </w:rPr>
          <w:t>Cranch</w:t>
        </w:r>
        <w:proofErr w:type="spellEnd"/>
        <w:r w:rsidRPr="00E50689">
          <w:rPr>
            <w:rFonts w:ascii="Californian FB" w:hAnsi="Californian FB" w:cs="Times New Roman"/>
            <w:color w:val="000000"/>
            <w:sz w:val="24"/>
            <w:szCs w:val="24"/>
          </w:rPr>
          <w:t xml:space="preserve"> 137, 177, 2 </w:t>
        </w:r>
        <w:proofErr w:type="spellStart"/>
        <w:r w:rsidRPr="00E50689">
          <w:rPr>
            <w:rFonts w:ascii="Californian FB" w:hAnsi="Californian FB" w:cs="Times New Roman"/>
            <w:color w:val="000000"/>
            <w:sz w:val="24"/>
            <w:szCs w:val="24"/>
          </w:rPr>
          <w:t>L.Ed</w:t>
        </w:r>
        <w:proofErr w:type="spellEnd"/>
        <w:r w:rsidRPr="00E50689">
          <w:rPr>
            <w:rFonts w:ascii="Californian FB" w:hAnsi="Californian FB" w:cs="Times New Roman"/>
            <w:color w:val="000000"/>
            <w:sz w:val="24"/>
            <w:szCs w:val="24"/>
          </w:rPr>
          <w:t>. 60 (1803)</w:t>
        </w:r>
      </w:hyperlink>
      <w:r w:rsidRPr="00E50689">
        <w:rPr>
          <w:rFonts w:ascii="Californian FB" w:hAnsi="Californian FB" w:cs="Times New Roman"/>
          <w:color w:val="000000"/>
          <w:sz w:val="24"/>
          <w:szCs w:val="24"/>
        </w:rPr>
        <w:t xml:space="preserve"> (“It is emphatically the province and duty of the judicial department to say what the law is.”). In contrast, the role of the legislature encompasses the process of “making laws”—not construing statutes after their enactment. </w:t>
      </w:r>
      <w:hyperlink r:id="rId266" w:anchor="co_pp_sp_780_488" w:history="1">
        <w:r w:rsidRPr="00E50689">
          <w:rPr>
            <w:rFonts w:ascii="Californian FB" w:hAnsi="Californian FB" w:cs="Times New Roman"/>
            <w:i/>
            <w:iCs/>
            <w:color w:val="000000"/>
            <w:sz w:val="24"/>
            <w:szCs w:val="24"/>
          </w:rPr>
          <w:t>Mellon</w:t>
        </w:r>
        <w:r w:rsidRPr="00E50689">
          <w:rPr>
            <w:rFonts w:ascii="Californian FB" w:hAnsi="Californian FB" w:cs="Times New Roman"/>
            <w:color w:val="000000"/>
            <w:sz w:val="24"/>
            <w:szCs w:val="24"/>
          </w:rPr>
          <w:t xml:space="preserve">, 262 U.S. at 488, 43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597</w:t>
        </w:r>
      </w:hyperlink>
      <w:r w:rsidRPr="00E50689">
        <w:rPr>
          <w:rFonts w:ascii="Californian FB" w:hAnsi="Californian FB" w:cs="Times New Roman"/>
          <w:color w:val="000000"/>
          <w:sz w:val="24"/>
          <w:szCs w:val="24"/>
        </w:rPr>
        <w:t xml:space="preserve">; see </w:t>
      </w:r>
      <w:hyperlink r:id="rId267" w:history="1">
        <w:proofErr w:type="spellStart"/>
        <w:r w:rsidRPr="00E50689">
          <w:rPr>
            <w:rFonts w:ascii="Californian FB" w:hAnsi="Californian FB" w:cs="Times New Roman"/>
            <w:i/>
            <w:iCs/>
            <w:color w:val="000000"/>
            <w:sz w:val="24"/>
            <w:szCs w:val="24"/>
          </w:rPr>
          <w:t>Patchak</w:t>
        </w:r>
        <w:proofErr w:type="spellEnd"/>
        <w:r w:rsidRPr="00E50689">
          <w:rPr>
            <w:rFonts w:ascii="Californian FB" w:hAnsi="Californian FB" w:cs="Times New Roman"/>
            <w:color w:val="000000"/>
            <w:sz w:val="24"/>
            <w:szCs w:val="24"/>
          </w:rPr>
          <w:t xml:space="preserve"> v. </w:t>
        </w:r>
        <w:r w:rsidRPr="00E50689">
          <w:rPr>
            <w:rFonts w:ascii="Californian FB" w:hAnsi="Californian FB" w:cs="Times New Roman"/>
            <w:i/>
            <w:iCs/>
            <w:color w:val="000000"/>
            <w:sz w:val="24"/>
            <w:szCs w:val="24"/>
          </w:rPr>
          <w:t>Zinke</w:t>
        </w:r>
        <w:r w:rsidRPr="00E50689">
          <w:rPr>
            <w:rFonts w:ascii="Californian FB" w:hAnsi="Californian FB" w:cs="Times New Roman"/>
            <w:color w:val="000000"/>
            <w:sz w:val="24"/>
            <w:szCs w:val="24"/>
          </w:rPr>
          <w:t xml:space="preserve">, 583 U.S. ––––, ––––, 138 </w:t>
        </w:r>
        <w:proofErr w:type="spellStart"/>
        <w:r w:rsidRPr="00E50689">
          <w:rPr>
            <w:rFonts w:ascii="Californian FB" w:hAnsi="Californian FB" w:cs="Times New Roman"/>
            <w:color w:val="000000"/>
            <w:sz w:val="24"/>
            <w:szCs w:val="24"/>
          </w:rPr>
          <w:t>S.Ct</w:t>
        </w:r>
        <w:proofErr w:type="spellEnd"/>
        <w:r w:rsidRPr="00E50689">
          <w:rPr>
            <w:rFonts w:ascii="Californian FB" w:hAnsi="Californian FB" w:cs="Times New Roman"/>
            <w:color w:val="000000"/>
            <w:sz w:val="24"/>
            <w:szCs w:val="24"/>
          </w:rPr>
          <w:t>. 897, 905, 200 L.Ed.2d 92 (2018)</w:t>
        </w:r>
      </w:hyperlink>
      <w:r w:rsidRPr="00E50689">
        <w:rPr>
          <w:rFonts w:ascii="Californian FB" w:hAnsi="Californian FB" w:cs="Times New Roman"/>
          <w:color w:val="000000"/>
          <w:sz w:val="24"/>
          <w:szCs w:val="24"/>
        </w:rPr>
        <w:t xml:space="preserve"> (plurality opinion) (“[T]he legislative power is the power to make law.”). The OCGA annotations, in my appraisal, do not rank as part of the Georgia Legislature’s </w:t>
      </w:r>
      <w:r w:rsidRPr="00E50689">
        <w:rPr>
          <w:rFonts w:ascii="Californian FB" w:hAnsi="Californian FB" w:cs="Times New Roman"/>
          <w:i/>
          <w:iCs/>
          <w:color w:val="000000"/>
          <w:sz w:val="24"/>
          <w:szCs w:val="24"/>
        </w:rPr>
        <w:t>lawmaking process</w:t>
      </w:r>
      <w:r w:rsidRPr="00E50689">
        <w:rPr>
          <w:rFonts w:ascii="Californian FB" w:hAnsi="Californian FB" w:cs="Times New Roman"/>
          <w:color w:val="000000"/>
          <w:sz w:val="24"/>
          <w:szCs w:val="24"/>
        </w:rPr>
        <w:t xml:space="preserve"> for three reasons.</w:t>
      </w:r>
    </w:p>
    <w:p w14:paraId="26153C2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17B2A4B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First, the annotations are not created contemporaneously with the statutes to which they pertain; instead, the annotations comment on statutes already enacted. See,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App. 268–269 (text of enacted laws are transmitted to the publisher for the addition of commentary); </w:t>
      </w:r>
      <w:r w:rsidRPr="00E50689">
        <w:rPr>
          <w:rFonts w:ascii="Californian FB" w:hAnsi="Californian FB" w:cs="Times New Roman"/>
          <w:i/>
          <w:iCs/>
          <w:color w:val="000000"/>
          <w:sz w:val="24"/>
          <w:szCs w:val="24"/>
        </w:rPr>
        <w:t>id</w:t>
      </w:r>
      <w:r w:rsidRPr="00E50689">
        <w:rPr>
          <w:rFonts w:ascii="Californian FB" w:hAnsi="Californian FB" w:cs="Times New Roman"/>
          <w:color w:val="000000"/>
          <w:sz w:val="24"/>
          <w:szCs w:val="24"/>
        </w:rPr>
        <w:t>., at 403–404 (publisher adds new case notes on a rolling basis as courts construe existing statutes).</w:t>
      </w:r>
      <w:bookmarkStart w:id="179" w:name="co_fnRef_B00142050840643_ID0ENTCK_1"/>
      <w:bookmarkEnd w:id="179"/>
      <w:r w:rsidRPr="00E50689">
        <w:rPr>
          <w:rFonts w:ascii="Californian FB" w:hAnsi="Californian FB" w:cs="Times New Roman"/>
          <w:color w:val="000000"/>
          <w:sz w:val="24"/>
          <w:szCs w:val="24"/>
        </w:rPr>
        <w:t xml:space="preserve"> In short, annotating begins only after lawmaking ends. This sets the OCGA annotations apart from uncopyrightable legislative materials like committee reports, generated before a law’s enactment, and tied tightly to the task of law-formulation.</w:t>
      </w:r>
    </w:p>
    <w:p w14:paraId="3B6547C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377ECA6C" w14:textId="0540FD7E"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Second, the OCGA annotations are descriptive rather than prescriptive. Instead of stating the legislature’s perception of what a law conveys, the annotations summarize writings in which others express </w:t>
      </w:r>
      <w:r w:rsidRPr="00E50689">
        <w:rPr>
          <w:rFonts w:ascii="Californian FB" w:hAnsi="Californian FB" w:cs="Times New Roman"/>
          <w:i/>
          <w:iCs/>
          <w:color w:val="000000"/>
          <w:sz w:val="24"/>
          <w:szCs w:val="24"/>
        </w:rPr>
        <w:t xml:space="preserve">their </w:t>
      </w:r>
      <w:r w:rsidRPr="00E50689">
        <w:rPr>
          <w:rFonts w:ascii="Californian FB" w:hAnsi="Californian FB" w:cs="Times New Roman"/>
          <w:color w:val="000000"/>
          <w:sz w:val="24"/>
          <w:szCs w:val="24"/>
        </w:rPr>
        <w:t>views on a given statute</w:t>
      </w:r>
      <w:proofErr w:type="gramStart"/>
      <w:r w:rsidRPr="00E50689">
        <w:rPr>
          <w:rFonts w:ascii="Californian FB" w:hAnsi="Californian FB" w:cs="Times New Roman"/>
          <w:color w:val="000000"/>
          <w:sz w:val="24"/>
          <w:szCs w:val="24"/>
        </w:rPr>
        <w:t>.</w:t>
      </w:r>
      <w:r>
        <w:rPr>
          <w:rFonts w:ascii="Californian FB" w:hAnsi="Californian FB" w:cs="Times New Roman"/>
          <w:color w:val="000000"/>
          <w:sz w:val="24"/>
          <w:szCs w:val="24"/>
        </w:rPr>
        <w:t xml:space="preserve"> . . .</w:t>
      </w:r>
      <w:proofErr w:type="gramEnd"/>
      <w:r>
        <w:rPr>
          <w:rFonts w:ascii="Californian FB" w:hAnsi="Californian FB" w:cs="Times New Roman"/>
          <w:color w:val="000000"/>
          <w:sz w:val="24"/>
          <w:szCs w:val="24"/>
        </w:rPr>
        <w:t xml:space="preserve"> </w:t>
      </w:r>
      <w:r w:rsidRPr="00E50689">
        <w:rPr>
          <w:rFonts w:ascii="Californian FB" w:hAnsi="Californian FB" w:cs="Times New Roman"/>
          <w:color w:val="000000"/>
          <w:sz w:val="24"/>
          <w:szCs w:val="24"/>
        </w:rPr>
        <w:t xml:space="preserve">The annotations are neutrally cast; they do not opine on whether the summarized case was correctly decided. See,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w:t>
      </w:r>
      <w:hyperlink r:id="rId268" w:history="1">
        <w:r w:rsidRPr="00E50689">
          <w:rPr>
            <w:rFonts w:ascii="Californian FB" w:hAnsi="Californian FB" w:cs="Times New Roman"/>
            <w:color w:val="000000"/>
            <w:sz w:val="24"/>
            <w:szCs w:val="24"/>
          </w:rPr>
          <w:t>OCGA § 17–7–50</w:t>
        </w:r>
      </w:hyperlink>
      <w:r w:rsidRPr="00E50689">
        <w:rPr>
          <w:rFonts w:ascii="Californian FB" w:hAnsi="Californian FB" w:cs="Times New Roman"/>
          <w:color w:val="000000"/>
          <w:sz w:val="24"/>
          <w:szCs w:val="24"/>
        </w:rPr>
        <w:t xml:space="preserve"> (2013) (case annotation summarizing facts and holdings of nine cases construing right to grand jury hearing). This characteristic of the annotations distinguishes them from </w:t>
      </w:r>
      <w:proofErr w:type="spellStart"/>
      <w:r w:rsidRPr="00E50689">
        <w:rPr>
          <w:rFonts w:ascii="Californian FB" w:hAnsi="Californian FB" w:cs="Times New Roman"/>
          <w:color w:val="000000"/>
          <w:sz w:val="24"/>
          <w:szCs w:val="24"/>
        </w:rPr>
        <w:t>preenactment</w:t>
      </w:r>
      <w:proofErr w:type="spellEnd"/>
      <w:r w:rsidRPr="00E50689">
        <w:rPr>
          <w:rFonts w:ascii="Californian FB" w:hAnsi="Californian FB" w:cs="Times New Roman"/>
          <w:color w:val="000000"/>
          <w:sz w:val="24"/>
          <w:szCs w:val="24"/>
        </w:rPr>
        <w:t xml:space="preserve"> legislative materials that touch or concern the correct interpretation of the legislature’s work.</w:t>
      </w:r>
    </w:p>
    <w:p w14:paraId="16286F1F"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283BC298" w14:textId="29498764"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xml:space="preserve">Third, and of prime importance, the OCGA annotations are “given for the purpose of convenient reference” by the public, </w:t>
      </w:r>
      <w:hyperlink r:id="rId269" w:history="1">
        <w:r w:rsidRPr="00E50689">
          <w:rPr>
            <w:rFonts w:ascii="Californian FB" w:hAnsi="Californian FB" w:cs="Times New Roman"/>
            <w:color w:val="000000"/>
            <w:sz w:val="24"/>
            <w:szCs w:val="24"/>
          </w:rPr>
          <w:t>§ 1–1–7</w:t>
        </w:r>
      </w:hyperlink>
      <w:r w:rsidRPr="00E50689">
        <w:rPr>
          <w:rFonts w:ascii="Californian FB" w:hAnsi="Californian FB" w:cs="Times New Roman"/>
          <w:color w:val="000000"/>
          <w:sz w:val="24"/>
          <w:szCs w:val="24"/>
        </w:rPr>
        <w:t xml:space="preserve"> (2019); they aim to inform the citizenry at large, they do not address, particularly, those seated in legislative chambers.</w:t>
      </w:r>
      <w:bookmarkStart w:id="180" w:name="co_fnRef_B00152050840643_ID0ENZCK_1"/>
      <w:bookmarkEnd w:id="180"/>
      <w:r w:rsidRPr="00E50689">
        <w:rPr>
          <w:rFonts w:ascii="Californian FB" w:hAnsi="Californian FB" w:cs="Times New Roman"/>
          <w:color w:val="000000"/>
          <w:sz w:val="24"/>
          <w:szCs w:val="24"/>
        </w:rPr>
        <w:t xml:space="preserve"> Annotations are thus unlike, for example, surveys, work commissioned by a legislature to aid in determining whether existing law should be amended.</w:t>
      </w:r>
    </w:p>
    <w:p w14:paraId="17A4FBE4"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2F6015EC" w14:textId="77777777" w:rsidR="00260C60" w:rsidRPr="00E50689" w:rsidRDefault="00260C60" w:rsidP="00D95621">
      <w:pPr>
        <w:widowControl w:val="0"/>
        <w:autoSpaceDE w:val="0"/>
        <w:autoSpaceDN w:val="0"/>
        <w:adjustRightInd w:val="0"/>
        <w:spacing w:after="0" w:line="240" w:lineRule="auto"/>
        <w:ind w:firstLine="360"/>
        <w:jc w:val="center"/>
        <w:rPr>
          <w:rFonts w:ascii="Californian FB" w:hAnsi="Californian FB" w:cs="Times New Roman"/>
          <w:color w:val="000000"/>
          <w:sz w:val="24"/>
          <w:szCs w:val="24"/>
        </w:rPr>
      </w:pPr>
      <w:r w:rsidRPr="00E50689">
        <w:rPr>
          <w:rFonts w:ascii="Californian FB" w:hAnsi="Californian FB" w:cs="Times New Roman"/>
          <w:color w:val="000000"/>
          <w:sz w:val="24"/>
          <w:szCs w:val="24"/>
        </w:rPr>
        <w:t>* * *</w:t>
      </w:r>
    </w:p>
    <w:p w14:paraId="1435CC23" w14:textId="77777777" w:rsidR="00260C60" w:rsidRPr="00E50689"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 </w:t>
      </w:r>
    </w:p>
    <w:p w14:paraId="6EE5268A"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E50689">
        <w:rPr>
          <w:rFonts w:ascii="Californian FB" w:hAnsi="Californian FB" w:cs="Times New Roman"/>
          <w:color w:val="000000"/>
          <w:sz w:val="24"/>
          <w:szCs w:val="24"/>
        </w:rPr>
        <w:t>Because summarizing judicial decisions and commentary bearing on enacted statutes, in contrast to, for example, drafting a committee report to accompany proposed legislation, is not done in a legislator’s law-shaping capacity, I would hold the OCGA annotations copyrightable and therefore reverse the judgment of the Court of Appeals for the Eleventh Circuit.</w:t>
      </w:r>
      <w:bookmarkStart w:id="181" w:name="co_allCitations_1"/>
      <w:bookmarkEnd w:id="181"/>
    </w:p>
    <w:p w14:paraId="68047571" w14:textId="77777777" w:rsidR="00260C60" w:rsidRDefault="00260C60" w:rsidP="00D95621">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5C510A8E" w14:textId="77777777" w:rsidR="004F2FAB" w:rsidRDefault="004F2FAB" w:rsidP="00260C60">
      <w:pPr>
        <w:widowControl w:val="0"/>
        <w:autoSpaceDE w:val="0"/>
        <w:autoSpaceDN w:val="0"/>
        <w:adjustRightInd w:val="0"/>
        <w:spacing w:after="0" w:line="240" w:lineRule="auto"/>
        <w:jc w:val="center"/>
        <w:rPr>
          <w:rFonts w:ascii="Californian FB" w:hAnsi="Californian FB" w:cs="Times New Roman"/>
          <w:b/>
          <w:bCs/>
          <w:color w:val="000000"/>
          <w:sz w:val="24"/>
          <w:szCs w:val="24"/>
        </w:rPr>
      </w:pPr>
    </w:p>
    <w:p w14:paraId="0E1A4CE4" w14:textId="50D6D25D" w:rsidR="00260C60" w:rsidRDefault="00260C60" w:rsidP="00260C60">
      <w:pPr>
        <w:widowControl w:val="0"/>
        <w:autoSpaceDE w:val="0"/>
        <w:autoSpaceDN w:val="0"/>
        <w:adjustRightInd w:val="0"/>
        <w:spacing w:after="0" w:line="240" w:lineRule="auto"/>
        <w:jc w:val="center"/>
        <w:rPr>
          <w:rFonts w:ascii="Californian FB" w:hAnsi="Californian FB" w:cs="Times New Roman"/>
          <w:b/>
          <w:bCs/>
          <w:color w:val="000000"/>
          <w:sz w:val="24"/>
          <w:szCs w:val="24"/>
        </w:rPr>
      </w:pPr>
      <w:r w:rsidRPr="00C46C23">
        <w:rPr>
          <w:rFonts w:ascii="Californian FB" w:hAnsi="Californian FB" w:cs="Times New Roman"/>
          <w:b/>
          <w:bCs/>
          <w:color w:val="000000"/>
          <w:sz w:val="24"/>
          <w:szCs w:val="24"/>
        </w:rPr>
        <w:t>Notes</w:t>
      </w:r>
    </w:p>
    <w:p w14:paraId="22047C54" w14:textId="77777777" w:rsidR="00260C60" w:rsidRDefault="00260C60" w:rsidP="00260C60">
      <w:pPr>
        <w:widowControl w:val="0"/>
        <w:autoSpaceDE w:val="0"/>
        <w:autoSpaceDN w:val="0"/>
        <w:adjustRightInd w:val="0"/>
        <w:spacing w:after="0" w:line="240" w:lineRule="auto"/>
        <w:jc w:val="center"/>
        <w:rPr>
          <w:rFonts w:ascii="Californian FB" w:hAnsi="Californian FB" w:cs="Times New Roman"/>
          <w:b/>
          <w:bCs/>
          <w:color w:val="000000"/>
          <w:sz w:val="24"/>
          <w:szCs w:val="24"/>
        </w:rPr>
      </w:pPr>
    </w:p>
    <w:p w14:paraId="21227085"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 xml:space="preserve">1.  Understanding the Lines that the Opinions Draw.  </w:t>
      </w:r>
      <w:r>
        <w:rPr>
          <w:rFonts w:ascii="Californian FB" w:hAnsi="Californian FB" w:cs="Times New Roman"/>
          <w:color w:val="000000"/>
          <w:sz w:val="24"/>
          <w:szCs w:val="24"/>
        </w:rPr>
        <w:t xml:space="preserve">The opinions in the </w:t>
      </w:r>
      <w:proofErr w:type="gramStart"/>
      <w:r>
        <w:rPr>
          <w:rFonts w:ascii="Californian FB" w:hAnsi="Californian FB" w:cs="Times New Roman"/>
          <w:i/>
          <w:iCs/>
          <w:color w:val="000000"/>
          <w:sz w:val="24"/>
          <w:szCs w:val="24"/>
        </w:rPr>
        <w:t>Public.Resource.Org</w:t>
      </w:r>
      <w:proofErr w:type="gramEnd"/>
      <w:r>
        <w:rPr>
          <w:rFonts w:ascii="Californian FB" w:hAnsi="Californian FB" w:cs="Times New Roman"/>
          <w:i/>
          <w:iCs/>
          <w:color w:val="000000"/>
          <w:sz w:val="24"/>
          <w:szCs w:val="24"/>
        </w:rPr>
        <w:t xml:space="preserve"> (PRO) </w:t>
      </w:r>
      <w:r>
        <w:rPr>
          <w:rFonts w:ascii="Californian FB" w:hAnsi="Californian FB" w:cs="Times New Roman"/>
          <w:color w:val="000000"/>
          <w:sz w:val="24"/>
          <w:szCs w:val="24"/>
        </w:rPr>
        <w:t>case all agree that some texts written by legislators or judges are excluded from copyright protection by the “government edicts” doctrine. However, each of them presents a different interpretation of that doctrine. Those interpretations may have some twists, but simplified versions of each can be drawn from brief quotes from each of the three opinions.  Consider these quotes:</w:t>
      </w:r>
    </w:p>
    <w:p w14:paraId="4143552A" w14:textId="77777777" w:rsidR="00260C60" w:rsidRDefault="00260C60" w:rsidP="00260C60">
      <w:pPr>
        <w:pStyle w:val="ListParagraph"/>
        <w:widowControl w:val="0"/>
        <w:numPr>
          <w:ilvl w:val="0"/>
          <w:numId w:val="5"/>
        </w:numPr>
        <w:autoSpaceDE w:val="0"/>
        <w:autoSpaceDN w:val="0"/>
        <w:adjustRightInd w:val="0"/>
        <w:spacing w:after="0" w:line="240" w:lineRule="auto"/>
        <w:jc w:val="both"/>
        <w:rPr>
          <w:rFonts w:ascii="Californian FB" w:hAnsi="Californian FB" w:cs="Times New Roman"/>
          <w:color w:val="000000"/>
          <w:sz w:val="24"/>
          <w:szCs w:val="24"/>
        </w:rPr>
      </w:pPr>
      <w:r w:rsidRPr="00B308D8">
        <w:rPr>
          <w:rFonts w:ascii="Californian FB" w:hAnsi="Californian FB" w:cs="Times New Roman"/>
          <w:color w:val="000000"/>
          <w:sz w:val="24"/>
          <w:szCs w:val="24"/>
        </w:rPr>
        <w:lastRenderedPageBreak/>
        <w:t>The Court: “[O]</w:t>
      </w:r>
      <w:proofErr w:type="spellStart"/>
      <w:r w:rsidRPr="00B308D8">
        <w:rPr>
          <w:rFonts w:ascii="Californian FB" w:hAnsi="Californian FB" w:cs="Times New Roman"/>
          <w:color w:val="000000"/>
          <w:sz w:val="24"/>
          <w:szCs w:val="24"/>
        </w:rPr>
        <w:t>fficials</w:t>
      </w:r>
      <w:proofErr w:type="spellEnd"/>
      <w:r w:rsidRPr="00B308D8">
        <w:rPr>
          <w:rFonts w:ascii="Californian FB" w:hAnsi="Californian FB" w:cs="Times New Roman"/>
          <w:color w:val="000000"/>
          <w:sz w:val="24"/>
          <w:szCs w:val="24"/>
        </w:rPr>
        <w:t xml:space="preserve"> empowered to speak with the force of law cannot be the authors of . . . the works they create in the course of their official duties.” </w:t>
      </w:r>
    </w:p>
    <w:p w14:paraId="4F270499" w14:textId="77777777" w:rsidR="00260C60" w:rsidRDefault="00260C60" w:rsidP="00260C60">
      <w:pPr>
        <w:pStyle w:val="ListParagraph"/>
        <w:widowControl w:val="0"/>
        <w:numPr>
          <w:ilvl w:val="0"/>
          <w:numId w:val="5"/>
        </w:numPr>
        <w:autoSpaceDE w:val="0"/>
        <w:autoSpaceDN w:val="0"/>
        <w:adjustRightInd w:val="0"/>
        <w:spacing w:after="0" w:line="240" w:lineRule="auto"/>
        <w:jc w:val="both"/>
        <w:rPr>
          <w:rFonts w:ascii="Californian FB" w:hAnsi="Californian FB" w:cs="Times New Roman"/>
          <w:color w:val="000000"/>
          <w:sz w:val="24"/>
          <w:szCs w:val="24"/>
        </w:rPr>
      </w:pPr>
      <w:r w:rsidRPr="00B308D8">
        <w:rPr>
          <w:rFonts w:ascii="Californian FB" w:hAnsi="Californian FB" w:cs="Times New Roman"/>
          <w:color w:val="000000"/>
          <w:sz w:val="24"/>
          <w:szCs w:val="24"/>
        </w:rPr>
        <w:t xml:space="preserve">Justice Thomas: “[I]t must follow from our precedents that statutes and regulations cannot be copyrighted, but accompanying notes lacking legal force can be.” </w:t>
      </w:r>
    </w:p>
    <w:p w14:paraId="26E84158" w14:textId="77777777" w:rsidR="00260C60" w:rsidRDefault="00260C60" w:rsidP="00260C60">
      <w:pPr>
        <w:pStyle w:val="ListParagraph"/>
        <w:widowControl w:val="0"/>
        <w:numPr>
          <w:ilvl w:val="0"/>
          <w:numId w:val="5"/>
        </w:numPr>
        <w:autoSpaceDE w:val="0"/>
        <w:autoSpaceDN w:val="0"/>
        <w:adjustRightInd w:val="0"/>
        <w:spacing w:after="0" w:line="240" w:lineRule="auto"/>
        <w:jc w:val="both"/>
        <w:rPr>
          <w:rFonts w:ascii="Californian FB" w:hAnsi="Californian FB" w:cs="Times New Roman"/>
          <w:color w:val="000000"/>
          <w:sz w:val="24"/>
          <w:szCs w:val="24"/>
        </w:rPr>
      </w:pPr>
      <w:r w:rsidRPr="00B308D8">
        <w:rPr>
          <w:rFonts w:ascii="Californian FB" w:hAnsi="Californian FB" w:cs="Times New Roman"/>
          <w:color w:val="000000"/>
          <w:sz w:val="24"/>
          <w:szCs w:val="24"/>
        </w:rPr>
        <w:t>Justice Ginsburg: “[S]</w:t>
      </w:r>
      <w:proofErr w:type="spellStart"/>
      <w:r w:rsidRPr="00B308D8">
        <w:rPr>
          <w:rFonts w:ascii="Californian FB" w:hAnsi="Californian FB" w:cs="Times New Roman"/>
          <w:color w:val="000000"/>
          <w:sz w:val="24"/>
          <w:szCs w:val="24"/>
        </w:rPr>
        <w:t>tate</w:t>
      </w:r>
      <w:proofErr w:type="spellEnd"/>
      <w:r w:rsidRPr="00B308D8">
        <w:rPr>
          <w:rFonts w:ascii="Californian FB" w:hAnsi="Californian FB" w:cs="Times New Roman"/>
          <w:color w:val="000000"/>
          <w:sz w:val="24"/>
          <w:szCs w:val="24"/>
        </w:rPr>
        <w:t xml:space="preserve"> laws are not copyrightable. Nor are other materials created by state legislators in the course of performing their lawmaking responsibilities.</w:t>
      </w:r>
      <w:r>
        <w:rPr>
          <w:rFonts w:ascii="Californian FB" w:hAnsi="Californian FB" w:cs="Times New Roman"/>
          <w:color w:val="000000"/>
          <w:sz w:val="24"/>
          <w:szCs w:val="24"/>
        </w:rPr>
        <w:t xml:space="preserve"> [But] the role of the legislature [does not extend to] construing statutes after their enactment.</w:t>
      </w:r>
      <w:r w:rsidRPr="00B308D8">
        <w:rPr>
          <w:rFonts w:ascii="Californian FB" w:hAnsi="Californian FB" w:cs="Times New Roman"/>
          <w:color w:val="000000"/>
          <w:sz w:val="24"/>
          <w:szCs w:val="24"/>
        </w:rPr>
        <w:t xml:space="preserve">” </w:t>
      </w:r>
    </w:p>
    <w:p w14:paraId="371F85B1" w14:textId="77777777" w:rsidR="00260C60" w:rsidRPr="00B308D8" w:rsidRDefault="00260C60" w:rsidP="00260C60">
      <w:pPr>
        <w:widowControl w:val="0"/>
        <w:autoSpaceDE w:val="0"/>
        <w:autoSpaceDN w:val="0"/>
        <w:adjustRightInd w:val="0"/>
        <w:spacing w:after="0" w:line="240" w:lineRule="auto"/>
        <w:ind w:left="360"/>
        <w:jc w:val="both"/>
        <w:rPr>
          <w:rFonts w:ascii="Californian FB" w:hAnsi="Californian FB" w:cs="Times New Roman"/>
          <w:color w:val="000000"/>
          <w:sz w:val="24"/>
          <w:szCs w:val="24"/>
        </w:rPr>
      </w:pPr>
      <w:r w:rsidRPr="00B308D8">
        <w:rPr>
          <w:rFonts w:ascii="Californian FB" w:hAnsi="Californian FB" w:cs="Times New Roman"/>
          <w:color w:val="000000"/>
          <w:sz w:val="24"/>
          <w:szCs w:val="24"/>
        </w:rPr>
        <w:t xml:space="preserve">Can you place interpretations of the “government edicts” doctrine </w:t>
      </w:r>
      <w:r>
        <w:rPr>
          <w:rFonts w:ascii="Californian FB" w:hAnsi="Californian FB" w:cs="Times New Roman"/>
          <w:color w:val="000000"/>
          <w:sz w:val="24"/>
          <w:szCs w:val="24"/>
        </w:rPr>
        <w:t xml:space="preserve">drawn from those quotes </w:t>
      </w:r>
      <w:r w:rsidRPr="00B308D8">
        <w:rPr>
          <w:rFonts w:ascii="Californian FB" w:hAnsi="Californian FB" w:cs="Times New Roman"/>
          <w:color w:val="000000"/>
          <w:sz w:val="24"/>
          <w:szCs w:val="24"/>
        </w:rPr>
        <w:t xml:space="preserve">in order from the narrowest to the broadest, perhaps thinking of them graphically as three nested circles in a Venn diagram?  Consider the following list of types of works, and assume that each was written by state legislators within the scope of their government employment.  Which would fall within even the narrowest interpretation of the doctrine; which would fall outside of that interpretation but within the </w:t>
      </w:r>
      <w:r>
        <w:rPr>
          <w:rFonts w:ascii="Californian FB" w:hAnsi="Californian FB" w:cs="Times New Roman"/>
          <w:color w:val="000000"/>
          <w:sz w:val="24"/>
          <w:szCs w:val="24"/>
        </w:rPr>
        <w:t>two others</w:t>
      </w:r>
      <w:r w:rsidRPr="00B308D8">
        <w:rPr>
          <w:rFonts w:ascii="Californian FB" w:hAnsi="Californian FB" w:cs="Times New Roman"/>
          <w:color w:val="000000"/>
          <w:sz w:val="24"/>
          <w:szCs w:val="24"/>
        </w:rPr>
        <w:t>; which only within the broadest interpretation; and which outside of all three interpretations?  (1) A statute currently in force; (2) A legislative committee report on a bill that was later enacted into law and is currently in force; (</w:t>
      </w:r>
      <w:r>
        <w:rPr>
          <w:rFonts w:ascii="Californian FB" w:hAnsi="Californian FB" w:cs="Times New Roman"/>
          <w:color w:val="000000"/>
          <w:sz w:val="24"/>
          <w:szCs w:val="24"/>
        </w:rPr>
        <w:t>3</w:t>
      </w:r>
      <w:r w:rsidRPr="00B308D8">
        <w:rPr>
          <w:rFonts w:ascii="Californian FB" w:hAnsi="Californian FB" w:cs="Times New Roman"/>
          <w:color w:val="000000"/>
          <w:sz w:val="24"/>
          <w:szCs w:val="24"/>
        </w:rPr>
        <w:t xml:space="preserve">) A guide to the architecture of the state </w:t>
      </w:r>
      <w:proofErr w:type="gramStart"/>
      <w:r w:rsidRPr="00B308D8">
        <w:rPr>
          <w:rFonts w:ascii="Californian FB" w:hAnsi="Californian FB" w:cs="Times New Roman"/>
          <w:color w:val="000000"/>
          <w:sz w:val="24"/>
          <w:szCs w:val="24"/>
        </w:rPr>
        <w:t>capitol</w:t>
      </w:r>
      <w:r>
        <w:rPr>
          <w:rFonts w:ascii="Californian FB" w:hAnsi="Californian FB" w:cs="Times New Roman"/>
          <w:color w:val="000000"/>
          <w:sz w:val="24"/>
          <w:szCs w:val="24"/>
        </w:rPr>
        <w:t xml:space="preserve">;  </w:t>
      </w:r>
      <w:r w:rsidRPr="00B308D8">
        <w:rPr>
          <w:rFonts w:ascii="Californian FB" w:hAnsi="Californian FB" w:cs="Times New Roman"/>
          <w:color w:val="000000"/>
          <w:sz w:val="24"/>
          <w:szCs w:val="24"/>
        </w:rPr>
        <w:t>(</w:t>
      </w:r>
      <w:proofErr w:type="gramEnd"/>
      <w:r>
        <w:rPr>
          <w:rFonts w:ascii="Californian FB" w:hAnsi="Californian FB" w:cs="Times New Roman"/>
          <w:color w:val="000000"/>
          <w:sz w:val="24"/>
          <w:szCs w:val="24"/>
        </w:rPr>
        <w:t>4</w:t>
      </w:r>
      <w:r w:rsidRPr="00B308D8">
        <w:rPr>
          <w:rFonts w:ascii="Californian FB" w:hAnsi="Californian FB" w:cs="Times New Roman"/>
          <w:color w:val="000000"/>
          <w:sz w:val="24"/>
          <w:szCs w:val="24"/>
        </w:rPr>
        <w:t>) A list of judicial opinions that have interpreted a statute; (</w:t>
      </w:r>
      <w:r>
        <w:rPr>
          <w:rFonts w:ascii="Californian FB" w:hAnsi="Californian FB" w:cs="Times New Roman"/>
          <w:color w:val="000000"/>
          <w:sz w:val="24"/>
          <w:szCs w:val="24"/>
        </w:rPr>
        <w:t>5</w:t>
      </w:r>
      <w:r w:rsidRPr="00B308D8">
        <w:rPr>
          <w:rFonts w:ascii="Californian FB" w:hAnsi="Californian FB" w:cs="Times New Roman"/>
          <w:color w:val="000000"/>
          <w:sz w:val="24"/>
          <w:szCs w:val="24"/>
        </w:rPr>
        <w:t>) Correspondence between legislators regarding a bill that was later enacted into law and is currently in force</w:t>
      </w:r>
      <w:r>
        <w:rPr>
          <w:rFonts w:ascii="Californian FB" w:hAnsi="Californian FB" w:cs="Times New Roman"/>
          <w:color w:val="000000"/>
          <w:sz w:val="24"/>
          <w:szCs w:val="24"/>
        </w:rPr>
        <w:t>.</w:t>
      </w:r>
    </w:p>
    <w:p w14:paraId="4F589E08"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Times New Roman"/>
          <w:color w:val="000000"/>
          <w:sz w:val="24"/>
          <w:szCs w:val="24"/>
        </w:rPr>
      </w:pPr>
    </w:p>
    <w:p w14:paraId="15B384BB" w14:textId="77777777" w:rsidR="00260C60" w:rsidRDefault="00260C60" w:rsidP="00260C60">
      <w:pPr>
        <w:widowControl w:val="0"/>
        <w:tabs>
          <w:tab w:val="left" w:pos="450"/>
        </w:tabs>
        <w:autoSpaceDE w:val="0"/>
        <w:autoSpaceDN w:val="0"/>
        <w:adjustRightInd w:val="0"/>
        <w:spacing w:after="0" w:line="240" w:lineRule="auto"/>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 xml:space="preserve">2.  The Scope of the “Government Edicts” Doctrine and What Judges and Legislators Do. </w:t>
      </w:r>
      <w:r>
        <w:rPr>
          <w:rFonts w:ascii="Californian FB" w:hAnsi="Californian FB" w:cs="Times New Roman"/>
          <w:color w:val="000000"/>
          <w:sz w:val="24"/>
          <w:szCs w:val="24"/>
        </w:rPr>
        <w:t xml:space="preserve">Writing for the Court, Chief Justice Roberts suggests that every word </w:t>
      </w:r>
      <w:proofErr w:type="gramStart"/>
      <w:r>
        <w:rPr>
          <w:rFonts w:ascii="Californian FB" w:hAnsi="Californian FB" w:cs="Times New Roman"/>
          <w:color w:val="000000"/>
          <w:sz w:val="24"/>
          <w:szCs w:val="24"/>
        </w:rPr>
        <w:t>that judges and legislators</w:t>
      </w:r>
      <w:proofErr w:type="gramEnd"/>
      <w:r>
        <w:rPr>
          <w:rFonts w:ascii="Californian FB" w:hAnsi="Californian FB" w:cs="Times New Roman"/>
          <w:color w:val="000000"/>
          <w:sz w:val="24"/>
          <w:szCs w:val="24"/>
        </w:rPr>
        <w:t xml:space="preserve"> produce in their official capacities is potentially important for citizens to understand what the law is and how it might apply to their conduct. By contrast, in dissent, Justice Thomas suggests that what judges and legislators do is quite different. He agrees that every word </w:t>
      </w:r>
      <w:proofErr w:type="gramStart"/>
      <w:r>
        <w:rPr>
          <w:rFonts w:ascii="Californian FB" w:hAnsi="Californian FB" w:cs="Times New Roman"/>
          <w:color w:val="000000"/>
          <w:sz w:val="24"/>
          <w:szCs w:val="24"/>
        </w:rPr>
        <w:t>that judges</w:t>
      </w:r>
      <w:proofErr w:type="gramEnd"/>
      <w:r>
        <w:rPr>
          <w:rFonts w:ascii="Californian FB" w:hAnsi="Californian FB" w:cs="Times New Roman"/>
          <w:color w:val="000000"/>
          <w:sz w:val="24"/>
          <w:szCs w:val="24"/>
        </w:rPr>
        <w:t xml:space="preserve"> produce may be important to understand or predict what the law is – even concurrences and dissents that technically do not have the force of law. However, he contends, that is not true of legislators, because legislation is different.  Do you agree?  Does that depend at least in part on a contested theory of statutory interpretation?  For strict textualists, who believe that only the text of enacted law should be consulted when trying to decide cases, statements of legislators outside of that text should be irrelevant. Such statements have not been enacted following the legislative process set forth in state or federal constitutions, and taking them into consideration would also multiply what citizens need to learn to know the law.  Note that in footnote 8, Justice Thomas suggests that legislative history may not be protected by copyright in those states that have passed laws explicitly stating that legislative history is relevant to interpreting statutes.  By contrast, Justice Ginsburg’s dissent would exclude all pre-enactment legislative history from copyright protection, but allow copyright protection for annotations made after enactment.</w:t>
      </w:r>
    </w:p>
    <w:p w14:paraId="22F7BC06" w14:textId="77777777" w:rsidR="00260C60" w:rsidRDefault="00260C60" w:rsidP="00260C60">
      <w:pPr>
        <w:widowControl w:val="0"/>
        <w:tabs>
          <w:tab w:val="left" w:pos="450"/>
        </w:tabs>
        <w:autoSpaceDE w:val="0"/>
        <w:autoSpaceDN w:val="0"/>
        <w:adjustRightInd w:val="0"/>
        <w:spacing w:after="0" w:line="240" w:lineRule="auto"/>
        <w:ind w:left="360" w:hanging="360"/>
        <w:jc w:val="both"/>
        <w:rPr>
          <w:rFonts w:ascii="Californian FB" w:hAnsi="Californian FB" w:cs="Times New Roman"/>
          <w:b/>
          <w:bCs/>
          <w:color w:val="000000"/>
          <w:sz w:val="24"/>
          <w:szCs w:val="24"/>
        </w:rPr>
      </w:pPr>
    </w:p>
    <w:p w14:paraId="14F4ED9A"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Times New Roman"/>
          <w:color w:val="000000"/>
          <w:sz w:val="24"/>
          <w:szCs w:val="24"/>
        </w:rPr>
      </w:pPr>
      <w:r>
        <w:rPr>
          <w:rFonts w:ascii="Californian FB" w:hAnsi="Californian FB" w:cs="Times New Roman"/>
          <w:b/>
          <w:bCs/>
          <w:color w:val="000000"/>
          <w:sz w:val="24"/>
          <w:szCs w:val="24"/>
        </w:rPr>
        <w:t>3.</w:t>
      </w:r>
      <w:r>
        <w:rPr>
          <w:rFonts w:ascii="Californian FB" w:hAnsi="Californian FB" w:cs="Times New Roman"/>
          <w:b/>
          <w:bCs/>
          <w:color w:val="000000"/>
          <w:sz w:val="24"/>
          <w:szCs w:val="24"/>
        </w:rPr>
        <w:tab/>
        <w:t xml:space="preserve">Copyright and the State’s Endorsement of a Privately-Sold Product.  </w:t>
      </w:r>
      <w:r>
        <w:rPr>
          <w:rFonts w:ascii="Californian FB" w:hAnsi="Californian FB" w:cs="Times New Roman"/>
          <w:color w:val="000000"/>
          <w:sz w:val="24"/>
          <w:szCs w:val="24"/>
        </w:rPr>
        <w:t xml:space="preserve">The title of the code at issue in this case – the </w:t>
      </w:r>
      <w:r w:rsidRPr="00E50689">
        <w:rPr>
          <w:rFonts w:ascii="Californian FB" w:hAnsi="Californian FB" w:cs="Times New Roman"/>
          <w:color w:val="000000"/>
          <w:sz w:val="24"/>
          <w:szCs w:val="24"/>
        </w:rPr>
        <w:t xml:space="preserve">“Official Code of Georgia Annotated” </w:t>
      </w:r>
      <w:r>
        <w:rPr>
          <w:rFonts w:ascii="Californian FB" w:hAnsi="Californian FB" w:cs="Times New Roman"/>
          <w:color w:val="000000"/>
          <w:sz w:val="24"/>
          <w:szCs w:val="24"/>
        </w:rPr>
        <w:t>– suggests that the Georgia legislature has endorsed the annotations as its guide to the interpretation and application of the laws that it has passed.  As the Opinion for the Court also pointedly notes, “[t]</w:t>
      </w:r>
      <w:r w:rsidRPr="00E50689">
        <w:rPr>
          <w:rFonts w:ascii="Californian FB" w:hAnsi="Californian FB" w:cs="Times New Roman"/>
          <w:color w:val="000000"/>
          <w:sz w:val="24"/>
          <w:szCs w:val="24"/>
        </w:rPr>
        <w:t xml:space="preserve">he first page of each volume of the OCGA boasts the State’s official seal and announces to readers that it is </w:t>
      </w:r>
      <w:r>
        <w:rPr>
          <w:rFonts w:ascii="Californian FB" w:hAnsi="Californian FB" w:cs="Times New Roman"/>
          <w:color w:val="000000"/>
          <w:sz w:val="24"/>
          <w:szCs w:val="24"/>
        </w:rPr>
        <w:t>‘</w:t>
      </w:r>
      <w:r w:rsidRPr="00E50689">
        <w:rPr>
          <w:rFonts w:ascii="Californian FB" w:hAnsi="Californian FB" w:cs="Times New Roman"/>
          <w:color w:val="000000"/>
          <w:sz w:val="24"/>
          <w:szCs w:val="24"/>
        </w:rPr>
        <w:t>Published Under Authority of the State.</w:t>
      </w:r>
      <w:r>
        <w:rPr>
          <w:rFonts w:ascii="Californian FB" w:hAnsi="Californian FB" w:cs="Times New Roman"/>
          <w:color w:val="000000"/>
          <w:sz w:val="24"/>
          <w:szCs w:val="24"/>
        </w:rPr>
        <w:t>’</w:t>
      </w:r>
      <w:r w:rsidRPr="00E50689">
        <w:rPr>
          <w:rFonts w:ascii="Californian FB" w:hAnsi="Californian FB" w:cs="Times New Roman"/>
          <w:color w:val="000000"/>
          <w:sz w:val="24"/>
          <w:szCs w:val="24"/>
        </w:rPr>
        <w:t>”</w:t>
      </w:r>
      <w:r>
        <w:rPr>
          <w:rFonts w:ascii="Californian FB" w:hAnsi="Californian FB" w:cs="Times New Roman"/>
          <w:color w:val="000000"/>
          <w:sz w:val="24"/>
          <w:szCs w:val="24"/>
        </w:rPr>
        <w:t xml:space="preserve"> Can you imagine how a court or other government office might give some deference or preference to the official annotated code?  For example, if a relevant judicial opinion did not appear in the OCGA, might a court be somewhat more sympathetic to a lawyer who did not cite that opinion? Conversely, if a relevant opinion did </w:t>
      </w:r>
      <w:r>
        <w:rPr>
          <w:rFonts w:ascii="Californian FB" w:hAnsi="Californian FB" w:cs="Times New Roman"/>
          <w:color w:val="000000"/>
          <w:sz w:val="24"/>
          <w:szCs w:val="24"/>
        </w:rPr>
        <w:lastRenderedPageBreak/>
        <w:t xml:space="preserve">appear in the OCGA, might a court be less sympathetic to a lawyer who states that she did not cite it because it did not appear in a competing annotated code produced by another publisher? If lawyers are worried about missing anything that might appear in “official annotations,” won’t they feel compelled to consult the OCGA? Yet under Georgia’s agreement with Lexis, in order to consult the only government-endorsed annotated code, they must purchase a product from a private company.  How much is the Court’s decision in this case motivated by a sense that that arrangement – government endorsement and branding of a legal research tool sold by on private company – is unfair or unseemly?  </w:t>
      </w:r>
    </w:p>
    <w:p w14:paraId="134BE1FF"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Times New Roman"/>
          <w:color w:val="000000"/>
          <w:sz w:val="24"/>
          <w:szCs w:val="24"/>
        </w:rPr>
      </w:pPr>
    </w:p>
    <w:p w14:paraId="6129BE30" w14:textId="77777777" w:rsidR="00260C60" w:rsidRPr="00233238" w:rsidRDefault="00260C60" w:rsidP="00260C60">
      <w:pPr>
        <w:widowControl w:val="0"/>
        <w:autoSpaceDE w:val="0"/>
        <w:autoSpaceDN w:val="0"/>
        <w:adjustRightInd w:val="0"/>
        <w:spacing w:after="0" w:line="240" w:lineRule="auto"/>
        <w:ind w:left="360"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Notice that endorsement and branding are concepts associated more with trademark law than with copyright law, and that copyright doctrine may not </w:t>
      </w:r>
      <w:proofErr w:type="gramStart"/>
      <w:r>
        <w:rPr>
          <w:rFonts w:ascii="Californian FB" w:hAnsi="Californian FB" w:cs="Times New Roman"/>
          <w:color w:val="000000"/>
          <w:sz w:val="24"/>
          <w:szCs w:val="24"/>
        </w:rPr>
        <w:t>equipped</w:t>
      </w:r>
      <w:proofErr w:type="gramEnd"/>
      <w:r>
        <w:rPr>
          <w:rFonts w:ascii="Californian FB" w:hAnsi="Californian FB" w:cs="Times New Roman"/>
          <w:color w:val="000000"/>
          <w:sz w:val="24"/>
          <w:szCs w:val="24"/>
        </w:rPr>
        <w:t xml:space="preserve"> to deal with all endorsement concerns. For example, to deem an annotated code to be “official,” the state need not have entered into a work-made-for-hire contract.  It could have accepted an assignment of copyright, or it could even have let Lexis retain copyright in the annotations, and perhaps taken a license for certain uses.  Without a work-made-for-hire contract, could the Court still have concluded that the Georgia legislature was the “author” of the annotations for copyright purposes?  On authors’ names as brands, see, e.g., </w:t>
      </w:r>
      <w:r w:rsidRPr="00AA3EF1">
        <w:rPr>
          <w:rFonts w:ascii="Californian FB" w:hAnsi="Californian FB" w:cs="Times New Roman"/>
          <w:color w:val="000000"/>
          <w:sz w:val="24"/>
          <w:szCs w:val="24"/>
        </w:rPr>
        <w:t xml:space="preserve">Laura </w:t>
      </w:r>
      <w:proofErr w:type="spellStart"/>
      <w:r w:rsidRPr="00AA3EF1">
        <w:rPr>
          <w:rFonts w:ascii="Californian FB" w:hAnsi="Californian FB" w:cs="Times New Roman"/>
          <w:color w:val="000000"/>
          <w:sz w:val="24"/>
          <w:szCs w:val="24"/>
        </w:rPr>
        <w:t>Heymann</w:t>
      </w:r>
      <w:proofErr w:type="spellEnd"/>
      <w:r w:rsidRPr="00AA3EF1">
        <w:rPr>
          <w:rFonts w:ascii="Californian FB" w:hAnsi="Californian FB" w:cs="Times New Roman"/>
          <w:color w:val="000000"/>
          <w:sz w:val="24"/>
          <w:szCs w:val="24"/>
        </w:rPr>
        <w:t xml:space="preserve">, </w:t>
      </w:r>
      <w:r w:rsidRPr="00AA3EF1">
        <w:rPr>
          <w:rFonts w:ascii="Californian FB" w:hAnsi="Californian FB" w:cs="Helvetica"/>
          <w:color w:val="000000"/>
          <w:spacing w:val="2"/>
          <w:sz w:val="24"/>
          <w:szCs w:val="24"/>
          <w:shd w:val="clear" w:color="auto" w:fill="FFFFFF"/>
        </w:rPr>
        <w:t xml:space="preserve">The Birth of the </w:t>
      </w:r>
      <w:proofErr w:type="spellStart"/>
      <w:r w:rsidRPr="00AA3EF1">
        <w:rPr>
          <w:rFonts w:ascii="Californian FB" w:hAnsi="Californian FB" w:cs="Helvetica"/>
          <w:color w:val="000000"/>
          <w:spacing w:val="2"/>
          <w:sz w:val="24"/>
          <w:szCs w:val="24"/>
          <w:shd w:val="clear" w:color="auto" w:fill="FFFFFF"/>
        </w:rPr>
        <w:t>Authornym</w:t>
      </w:r>
      <w:proofErr w:type="spellEnd"/>
      <w:r w:rsidRPr="00AA3EF1">
        <w:rPr>
          <w:rFonts w:ascii="Californian FB" w:hAnsi="Californian FB" w:cs="Helvetica"/>
          <w:color w:val="000000"/>
          <w:spacing w:val="2"/>
          <w:sz w:val="24"/>
          <w:szCs w:val="24"/>
          <w:shd w:val="clear" w:color="auto" w:fill="FFFFFF"/>
        </w:rPr>
        <w:t>: Authorship, Pseudonymity, and Trademark Law, </w:t>
      </w:r>
      <w:r w:rsidRPr="00AA3EF1">
        <w:rPr>
          <w:rFonts w:ascii="Californian FB" w:hAnsi="Californian FB" w:cs="Helvetica"/>
          <w:smallCaps/>
          <w:color w:val="000000"/>
          <w:spacing w:val="2"/>
          <w:sz w:val="24"/>
          <w:szCs w:val="24"/>
          <w:shd w:val="clear" w:color="auto" w:fill="FFFFFF"/>
        </w:rPr>
        <w:t>80 Notre Dame L. Rev.</w:t>
      </w:r>
      <w:r w:rsidRPr="00AA3EF1">
        <w:rPr>
          <w:rFonts w:ascii="Californian FB" w:hAnsi="Californian FB" w:cs="Helvetica"/>
          <w:color w:val="000000"/>
          <w:spacing w:val="2"/>
          <w:sz w:val="24"/>
          <w:szCs w:val="24"/>
          <w:shd w:val="clear" w:color="auto" w:fill="FFFFFF"/>
        </w:rPr>
        <w:t> 1377 (2005).</w:t>
      </w:r>
    </w:p>
    <w:p w14:paraId="19722D61" w14:textId="77777777" w:rsidR="00260C60" w:rsidRPr="00E57DA3" w:rsidRDefault="00260C60" w:rsidP="00260C60">
      <w:pPr>
        <w:widowControl w:val="0"/>
        <w:tabs>
          <w:tab w:val="left" w:pos="450"/>
        </w:tabs>
        <w:autoSpaceDE w:val="0"/>
        <w:autoSpaceDN w:val="0"/>
        <w:adjustRightInd w:val="0"/>
        <w:spacing w:after="0" w:line="240" w:lineRule="auto"/>
        <w:ind w:left="360" w:hanging="360"/>
        <w:jc w:val="both"/>
        <w:rPr>
          <w:rFonts w:ascii="Californian FB" w:hAnsi="Californian FB" w:cs="Times New Roman"/>
          <w:color w:val="000000"/>
          <w:sz w:val="24"/>
          <w:szCs w:val="24"/>
        </w:rPr>
      </w:pPr>
    </w:p>
    <w:p w14:paraId="4C4391F8"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r>
        <w:rPr>
          <w:rFonts w:ascii="Californian FB" w:hAnsi="Californian FB" w:cs="Arial"/>
          <w:b/>
          <w:bCs/>
          <w:sz w:val="24"/>
          <w:szCs w:val="24"/>
        </w:rPr>
        <w:t xml:space="preserve">4. Statutory Annotations and the Incentive/Access Paradigm. </w:t>
      </w:r>
      <w:r>
        <w:rPr>
          <w:rFonts w:ascii="Californian FB" w:hAnsi="Californian FB" w:cs="Arial"/>
          <w:sz w:val="24"/>
          <w:szCs w:val="24"/>
        </w:rPr>
        <w:t xml:space="preserve"> The Opinion for the Court in </w:t>
      </w:r>
      <w:proofErr w:type="gramStart"/>
      <w:r>
        <w:rPr>
          <w:rFonts w:ascii="Californian FB" w:hAnsi="Californian FB" w:cs="Arial"/>
          <w:i/>
          <w:iCs/>
          <w:sz w:val="24"/>
          <w:szCs w:val="24"/>
        </w:rPr>
        <w:t>Public.Resource.Org</w:t>
      </w:r>
      <w:proofErr w:type="gramEnd"/>
      <w:r>
        <w:rPr>
          <w:rFonts w:ascii="Californian FB" w:hAnsi="Californian FB" w:cs="Arial"/>
          <w:i/>
          <w:iCs/>
          <w:sz w:val="24"/>
          <w:szCs w:val="24"/>
        </w:rPr>
        <w:t xml:space="preserve"> </w:t>
      </w:r>
      <w:r>
        <w:rPr>
          <w:rFonts w:ascii="Californian FB" w:hAnsi="Californian FB" w:cs="Arial"/>
          <w:sz w:val="24"/>
          <w:szCs w:val="24"/>
        </w:rPr>
        <w:t xml:space="preserve">emphasizes the importance of public access to the statutory annotations at issue in the case. Without tools to access to cases and other materials interpreting the law, people really won’t be able to understand many laws that they are expected to follow, or know whether they have been ruled unenforceable. In a society of economic inequality such as ours, the issue of access is sharpened. If a work is protected by copyright, states the Court, some citizens will be able to afford only “economy-class” knowledge of the law, whereas others get “first-class” knowledge. </w:t>
      </w:r>
    </w:p>
    <w:p w14:paraId="5743A59E"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p>
    <w:p w14:paraId="59358606" w14:textId="77777777" w:rsidR="00260C60" w:rsidRDefault="00260C60" w:rsidP="00260C60">
      <w:pPr>
        <w:widowControl w:val="0"/>
        <w:autoSpaceDE w:val="0"/>
        <w:autoSpaceDN w:val="0"/>
        <w:adjustRightInd w:val="0"/>
        <w:spacing w:after="0" w:line="240" w:lineRule="auto"/>
        <w:ind w:left="360" w:firstLine="360"/>
        <w:jc w:val="both"/>
        <w:rPr>
          <w:rFonts w:ascii="Californian FB" w:hAnsi="Californian FB" w:cs="Arial"/>
          <w:sz w:val="24"/>
          <w:szCs w:val="24"/>
        </w:rPr>
      </w:pPr>
      <w:r>
        <w:rPr>
          <w:rFonts w:ascii="Californian FB" w:hAnsi="Californian FB" w:cs="Arial"/>
          <w:sz w:val="24"/>
          <w:szCs w:val="24"/>
        </w:rPr>
        <w:t>By contrast, Justice Thomas downplays the restrictions on access, and emphasizes the role of copyright law in providing an incentive to produce the annotations in the first place.  Thomas notes that copyright does protect similar annotations produced by other private companies, and asserts that the annotations are only tools to locate helpful interpretations, not the interpretations themselves. He is worried that without copyright protection, “many States will stop producing annotated codes altogether,” thus leaving more people with only an “economy-class version” of the law.  This is, of course, an instance of the most prominent form of argument about whether copyright should exist, and whether it should be strengthened or weakened in various ways.  Which opinion is stronger on this argument?  If you think you would have to know something more to answer that question, what would you like to know?  Could the State of Georgia simply fund an annotated state code with tax dollars? Would you be more or less worried about state funding of fiction and art and music than about state funding of statutory annotations?</w:t>
      </w:r>
    </w:p>
    <w:p w14:paraId="75637608"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p>
    <w:p w14:paraId="03B419A8"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r>
        <w:rPr>
          <w:rFonts w:ascii="Californian FB" w:hAnsi="Californian FB" w:cs="Arial"/>
          <w:b/>
          <w:bCs/>
          <w:sz w:val="24"/>
          <w:szCs w:val="24"/>
        </w:rPr>
        <w:t xml:space="preserve">5.  Incentives Other Than Copyright and Public Funding.  </w:t>
      </w:r>
      <w:r>
        <w:rPr>
          <w:rFonts w:ascii="Californian FB" w:hAnsi="Californian FB" w:cs="Arial"/>
          <w:sz w:val="24"/>
          <w:szCs w:val="24"/>
        </w:rPr>
        <w:t xml:space="preserve">Lexis makes the OCGA available, not just in a set of bound hard copies, but through its own online legal research service. How much does Lexis need copyright to protect the OCGA as presented through that service?  To start to answer that question, you might consider a few other questions.  How does Lexis </w:t>
      </w:r>
      <w:r>
        <w:rPr>
          <w:rFonts w:ascii="Californian FB" w:hAnsi="Californian FB" w:cs="Arial"/>
          <w:sz w:val="24"/>
          <w:szCs w:val="24"/>
        </w:rPr>
        <w:lastRenderedPageBreak/>
        <w:t xml:space="preserve">control access to its online service? How easy is it to copy the entire OCGA from Lexis’s website? What kinds of functions (search, hyperlinking, and others) does Lexis provide with its online OCGA?  How convenient are those functions for lawyers, and how easy is it to duplicate them? </w:t>
      </w:r>
    </w:p>
    <w:p w14:paraId="2F48E22D" w14:textId="77777777" w:rsidR="00260C60"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p>
    <w:p w14:paraId="74884421" w14:textId="04DBDF26" w:rsidR="000633CD" w:rsidRDefault="00260C60" w:rsidP="000633CD">
      <w:pPr>
        <w:widowControl w:val="0"/>
        <w:autoSpaceDE w:val="0"/>
        <w:autoSpaceDN w:val="0"/>
        <w:adjustRightInd w:val="0"/>
        <w:spacing w:after="0" w:line="240" w:lineRule="auto"/>
        <w:ind w:left="360" w:firstLine="360"/>
        <w:jc w:val="both"/>
        <w:rPr>
          <w:rFonts w:ascii="Californian FB" w:hAnsi="Californian FB" w:cs="Arial"/>
          <w:sz w:val="24"/>
          <w:szCs w:val="24"/>
        </w:rPr>
      </w:pPr>
      <w:r>
        <w:rPr>
          <w:rFonts w:ascii="Californian FB" w:hAnsi="Californian FB" w:cs="Arial"/>
          <w:sz w:val="24"/>
          <w:szCs w:val="24"/>
        </w:rPr>
        <w:t xml:space="preserve">Compare how you might use OCGA on Lexis’s website with how you can use the copy of the OCGA that </w:t>
      </w:r>
      <w:proofErr w:type="gramStart"/>
      <w:r>
        <w:rPr>
          <w:rFonts w:ascii="Californian FB" w:hAnsi="Californian FB" w:cs="Arial"/>
          <w:sz w:val="24"/>
          <w:szCs w:val="24"/>
        </w:rPr>
        <w:t>Public.Resource.Org</w:t>
      </w:r>
      <w:proofErr w:type="gramEnd"/>
      <w:r>
        <w:rPr>
          <w:rFonts w:ascii="Californian FB" w:hAnsi="Californian FB" w:cs="Arial"/>
          <w:sz w:val="24"/>
          <w:szCs w:val="24"/>
        </w:rPr>
        <w:t xml:space="preserve"> has placed online.  The latter </w:t>
      </w:r>
      <w:hyperlink r:id="rId270" w:history="1">
        <w:r w:rsidRPr="003A0063">
          <w:rPr>
            <w:rStyle w:val="Hyperlink"/>
            <w:rFonts w:ascii="Californian FB" w:hAnsi="Californian FB" w:cs="Arial"/>
            <w:sz w:val="24"/>
            <w:szCs w:val="24"/>
          </w:rPr>
          <w:t>is available online at archive.org</w:t>
        </w:r>
      </w:hyperlink>
      <w:r>
        <w:rPr>
          <w:rFonts w:ascii="Californian FB" w:hAnsi="Californian FB" w:cs="Arial"/>
          <w:sz w:val="24"/>
          <w:szCs w:val="24"/>
        </w:rPr>
        <w:t>. Which one is more useful?  When we went to take a look at the OCGA on archive.org, in early August 2020, the version available was the OGCA 2018, which had been made available in late February and early March of 2019.  In the intervening 16 months, the most popular volume had been viewed 481 times, and the least popular volume had been viewed 21 times.  As of early August 2020, there were about 40,000 active members of the Georgia bar.  Our guess is that many more lawyers access the OCGA through the Lexis website than on archive.org.  Under those circumstances, is it possible that Lexis will agree to continue to produce the OCGA even though it is in the public domain, and Lexis cannot prevent it from appearing on archive.org? What impact might that have on the incentive argument made by Justice Thomas?</w:t>
      </w:r>
      <w:r w:rsidR="000633CD">
        <w:rPr>
          <w:rFonts w:ascii="Californian FB" w:hAnsi="Californian FB" w:cs="Arial"/>
          <w:sz w:val="24"/>
          <w:szCs w:val="24"/>
        </w:rPr>
        <w:t xml:space="preserve"> Conversely, what impact might that have on the “economy class / first class” argument made by the Chief Justice – aren’t the scans that appear on archive.org still an “economy-class” research tool as compared to the “first-class” tool available on Lexis?</w:t>
      </w:r>
    </w:p>
    <w:p w14:paraId="66659227" w14:textId="77777777" w:rsidR="00260C60" w:rsidRDefault="00260C60" w:rsidP="00260C60">
      <w:pPr>
        <w:widowControl w:val="0"/>
        <w:autoSpaceDE w:val="0"/>
        <w:autoSpaceDN w:val="0"/>
        <w:adjustRightInd w:val="0"/>
        <w:spacing w:after="0" w:line="240" w:lineRule="auto"/>
        <w:ind w:left="360" w:firstLine="360"/>
        <w:jc w:val="both"/>
        <w:rPr>
          <w:rFonts w:ascii="Californian FB" w:hAnsi="Californian FB" w:cs="Arial"/>
          <w:sz w:val="24"/>
          <w:szCs w:val="24"/>
        </w:rPr>
      </w:pPr>
    </w:p>
    <w:p w14:paraId="61A4C2D3" w14:textId="20AE316D" w:rsidR="00260C60" w:rsidRPr="00861FF5" w:rsidRDefault="00260C60" w:rsidP="00260C60">
      <w:pPr>
        <w:widowControl w:val="0"/>
        <w:autoSpaceDE w:val="0"/>
        <w:autoSpaceDN w:val="0"/>
        <w:adjustRightInd w:val="0"/>
        <w:spacing w:after="0" w:line="240" w:lineRule="auto"/>
        <w:ind w:left="360" w:hanging="360"/>
        <w:jc w:val="both"/>
        <w:rPr>
          <w:rFonts w:ascii="Californian FB" w:hAnsi="Californian FB" w:cs="Arial"/>
          <w:sz w:val="24"/>
          <w:szCs w:val="24"/>
        </w:rPr>
      </w:pPr>
      <w:r>
        <w:rPr>
          <w:rFonts w:ascii="Californian FB" w:hAnsi="Californian FB" w:cs="Arial"/>
          <w:b/>
          <w:bCs/>
          <w:sz w:val="24"/>
          <w:szCs w:val="24"/>
        </w:rPr>
        <w:t xml:space="preserve">6.  Executive Branch Officials.  </w:t>
      </w:r>
      <w:r>
        <w:rPr>
          <w:rFonts w:ascii="Californian FB" w:hAnsi="Californian FB" w:cs="Arial"/>
          <w:sz w:val="24"/>
          <w:szCs w:val="24"/>
        </w:rPr>
        <w:t xml:space="preserve">The </w:t>
      </w:r>
      <w:r>
        <w:rPr>
          <w:rFonts w:ascii="Californian FB" w:hAnsi="Californian FB" w:cs="Arial"/>
          <w:i/>
          <w:iCs/>
          <w:sz w:val="24"/>
          <w:szCs w:val="24"/>
        </w:rPr>
        <w:t xml:space="preserve">PRO </w:t>
      </w:r>
      <w:r>
        <w:rPr>
          <w:rFonts w:ascii="Californian FB" w:hAnsi="Californian FB" w:cs="Arial"/>
          <w:sz w:val="24"/>
          <w:szCs w:val="24"/>
        </w:rPr>
        <w:t xml:space="preserve">Court considers whether </w:t>
      </w:r>
      <w:r w:rsidR="00AC4727">
        <w:rPr>
          <w:rFonts w:ascii="Californian FB" w:hAnsi="Californian FB" w:cs="Arial"/>
          <w:sz w:val="24"/>
          <w:szCs w:val="24"/>
        </w:rPr>
        <w:t xml:space="preserve">state </w:t>
      </w:r>
      <w:r>
        <w:rPr>
          <w:rFonts w:ascii="Californian FB" w:hAnsi="Californian FB" w:cs="Arial"/>
          <w:sz w:val="24"/>
          <w:szCs w:val="24"/>
        </w:rPr>
        <w:t xml:space="preserve">judges and legislators, acting in their official capacity, can ever be authors within the meaning of the Copyright Act, and concludes that they cannot. It does not consider whether executive branch officials, such as governors and agency heads, can be authors. Clearly, some executive branch officials are “empowered to speak with the force of law.” Governors are authorized to issue executive orders that change legal relationships. Agency heads issue regulations with which private individuals must comply on pain of penalties or legal liability. Under </w:t>
      </w:r>
      <w:r>
        <w:rPr>
          <w:rFonts w:ascii="Californian FB" w:hAnsi="Californian FB" w:cs="Arial"/>
          <w:i/>
          <w:iCs/>
          <w:sz w:val="24"/>
          <w:szCs w:val="24"/>
        </w:rPr>
        <w:t>Georgia v. PRO</w:t>
      </w:r>
      <w:r>
        <w:rPr>
          <w:rFonts w:ascii="Californian FB" w:hAnsi="Californian FB" w:cs="Arial"/>
          <w:sz w:val="24"/>
          <w:szCs w:val="24"/>
        </w:rPr>
        <w:t>, then, is anything written by, or as a work-made-for-hire for, such officials in their official capacity, also in the public domain?</w:t>
      </w:r>
      <w:r w:rsidR="005F5F19">
        <w:rPr>
          <w:rFonts w:ascii="Californian FB" w:hAnsi="Californian FB" w:cs="Arial"/>
          <w:sz w:val="24"/>
          <w:szCs w:val="24"/>
        </w:rPr>
        <w:t xml:space="preserve">  </w:t>
      </w:r>
    </w:p>
    <w:p w14:paraId="08D2FEA2"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217F487F" w14:textId="77777777" w:rsidR="00260C60" w:rsidRPr="0085118D"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8"/>
          <w:szCs w:val="28"/>
        </w:rPr>
      </w:pPr>
      <w:r w:rsidRPr="0085118D">
        <w:rPr>
          <w:rFonts w:ascii="Californian FB" w:hAnsi="Californian FB" w:cs="Times New Roman"/>
          <w:color w:val="000000"/>
          <w:sz w:val="28"/>
          <w:szCs w:val="28"/>
        </w:rPr>
        <w:t xml:space="preserve">2. </w:t>
      </w:r>
      <w:r w:rsidRPr="0085118D">
        <w:rPr>
          <w:rFonts w:ascii="Californian FB" w:hAnsi="Californian FB" w:cs="Times New Roman"/>
          <w:b/>
          <w:bCs/>
          <w:color w:val="000000"/>
          <w:sz w:val="28"/>
          <w:szCs w:val="28"/>
        </w:rPr>
        <w:t>Authorship by Other Government Officials and Employees</w:t>
      </w:r>
    </w:p>
    <w:p w14:paraId="2B0CFA18"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4"/>
          <w:szCs w:val="24"/>
        </w:rPr>
      </w:pPr>
    </w:p>
    <w:p w14:paraId="2BE328E9"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After </w:t>
      </w:r>
      <w:r>
        <w:rPr>
          <w:rFonts w:ascii="Californian FB" w:hAnsi="Californian FB" w:cs="Times New Roman"/>
          <w:i/>
          <w:iCs/>
          <w:color w:val="000000"/>
          <w:sz w:val="24"/>
          <w:szCs w:val="24"/>
        </w:rPr>
        <w:t xml:space="preserve">Georgia v. </w:t>
      </w:r>
      <w:proofErr w:type="gramStart"/>
      <w:r>
        <w:rPr>
          <w:rFonts w:ascii="Californian FB" w:hAnsi="Californian FB" w:cs="Times New Roman"/>
          <w:i/>
          <w:iCs/>
          <w:color w:val="000000"/>
          <w:sz w:val="24"/>
          <w:szCs w:val="24"/>
        </w:rPr>
        <w:t>Public.Resource.Org</w:t>
      </w:r>
      <w:proofErr w:type="gramEnd"/>
      <w:r>
        <w:rPr>
          <w:rFonts w:ascii="Californian FB" w:hAnsi="Californian FB" w:cs="Times New Roman"/>
          <w:color w:val="000000"/>
          <w:sz w:val="24"/>
          <w:szCs w:val="24"/>
        </w:rPr>
        <w:t xml:space="preserve">, government officials who are “empowered to speak with the force of law” cannot be “authors,” within the meaning of the Copyright Act, for works they create in the course of their official duties. What about other government officials and employees? The answer to that question depends upon the government in question. </w:t>
      </w:r>
    </w:p>
    <w:p w14:paraId="44A54358"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13155280"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b/>
          <w:bCs/>
          <w:color w:val="000000"/>
          <w:sz w:val="28"/>
          <w:szCs w:val="28"/>
        </w:rPr>
      </w:pPr>
      <w:r>
        <w:rPr>
          <w:rFonts w:ascii="Californian FB" w:hAnsi="Californian FB" w:cs="Times New Roman"/>
          <w:b/>
          <w:bCs/>
          <w:color w:val="000000"/>
          <w:sz w:val="28"/>
          <w:szCs w:val="28"/>
        </w:rPr>
        <w:t>a. The United States Government</w:t>
      </w:r>
    </w:p>
    <w:p w14:paraId="340AAF93"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18FE614A"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The Copyright Act does contain a specific provision regarding works created by federal officials and employees. The first clause of § </w:t>
      </w:r>
      <w:r w:rsidRPr="005C075C">
        <w:rPr>
          <w:rFonts w:ascii="Californian FB" w:hAnsi="Californian FB" w:cs="Times New Roman"/>
          <w:color w:val="000000"/>
          <w:sz w:val="24"/>
          <w:szCs w:val="24"/>
        </w:rPr>
        <w:t>105</w:t>
      </w:r>
      <w:r>
        <w:rPr>
          <w:rFonts w:ascii="Californian FB" w:hAnsi="Californian FB" w:cs="Times New Roman"/>
          <w:color w:val="000000"/>
          <w:sz w:val="24"/>
          <w:szCs w:val="24"/>
        </w:rPr>
        <w:t xml:space="preserve">(a) </w:t>
      </w:r>
      <w:r w:rsidRPr="005C075C">
        <w:rPr>
          <w:rFonts w:ascii="Californian FB" w:hAnsi="Californian FB" w:cs="Times New Roman"/>
          <w:color w:val="000000"/>
          <w:sz w:val="24"/>
          <w:szCs w:val="24"/>
        </w:rPr>
        <w:t>of the 1976 Act provides: “Copyright protection under this title is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not available for any work of the United States Government.” 17 U.S.C. § 105. Undoubtedly, you are all</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already turning to § 101 to see if “work of the United States Government” is defined,</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and indeed it is, as “a work prepared by an officer or employee of the United States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 xml:space="preserve">Government as part of that person’s official duties.” 17 U.S.C. § 101. </w:t>
      </w:r>
    </w:p>
    <w:p w14:paraId="71E700E9"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461AF137" w14:textId="5E4EB339"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5C075C">
        <w:rPr>
          <w:rFonts w:ascii="Californian FB" w:hAnsi="Californian FB" w:cs="Times New Roman"/>
          <w:color w:val="000000"/>
          <w:sz w:val="24"/>
          <w:szCs w:val="24"/>
        </w:rPr>
        <w:t>T</w:t>
      </w:r>
      <w:r>
        <w:rPr>
          <w:rFonts w:ascii="Californian FB" w:hAnsi="Californian FB" w:cs="Times New Roman"/>
          <w:color w:val="000000"/>
          <w:sz w:val="24"/>
          <w:szCs w:val="24"/>
        </w:rPr>
        <w:t>wo</w:t>
      </w:r>
      <w:r w:rsidRPr="005C075C">
        <w:rPr>
          <w:rFonts w:ascii="Californian FB" w:hAnsi="Californian FB" w:cs="Times New Roman"/>
          <w:color w:val="000000"/>
          <w:sz w:val="24"/>
          <w:szCs w:val="24"/>
        </w:rPr>
        <w:t xml:space="preserve"> important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 xml:space="preserve">results follow from these </w:t>
      </w:r>
      <w:r>
        <w:rPr>
          <w:rFonts w:ascii="Californian FB" w:hAnsi="Californian FB" w:cs="Times New Roman"/>
          <w:color w:val="000000"/>
          <w:sz w:val="24"/>
          <w:szCs w:val="24"/>
        </w:rPr>
        <w:t xml:space="preserve">general </w:t>
      </w:r>
      <w:r w:rsidRPr="005C075C">
        <w:rPr>
          <w:rFonts w:ascii="Californian FB" w:hAnsi="Californian FB" w:cs="Times New Roman"/>
          <w:color w:val="000000"/>
          <w:sz w:val="24"/>
          <w:szCs w:val="24"/>
        </w:rPr>
        <w:t>provisions.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First, from the point of view of an officer or employee of the United States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Government, § 105 operates like the work made for hire doctrine: it divests the</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officer or employee of copyright ownership of works of which he or she would</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otherwise be considered the author. Like the work made for hire provisions, § 105</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contemplates the possibility that the officer or employee could claim copyright “in</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 work written at that person’s own volition and outside his or her duties.” H.R.</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Rep. No. 94-1476, 94th Cong., 2d Sess. 58 (1976). The House Report indicates that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 xml:space="preserve">“[a] </w:t>
      </w:r>
      <w:proofErr w:type="spellStart"/>
      <w:r w:rsidRPr="005C075C">
        <w:rPr>
          <w:rFonts w:ascii="Californian FB" w:hAnsi="Californian FB" w:cs="Times New Roman"/>
          <w:color w:val="000000"/>
          <w:sz w:val="24"/>
          <w:szCs w:val="24"/>
        </w:rPr>
        <w:t>lthough</w:t>
      </w:r>
      <w:proofErr w:type="spellEnd"/>
      <w:r w:rsidRPr="005C075C">
        <w:rPr>
          <w:rFonts w:ascii="Californian FB" w:hAnsi="Californian FB" w:cs="Times New Roman"/>
          <w:color w:val="000000"/>
          <w:sz w:val="24"/>
          <w:szCs w:val="24"/>
        </w:rPr>
        <w:t xml:space="preserve"> the wording of the definition of ‘work of the United States Government’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differs somewhat from that of the definition of ‘work made for hire,’ the concepts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are intended to be construed in the same way.” (That kind of legislative history, of</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course, makes textualists blow steam out their ears.) Note that unlike the definition</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of “work made for hire,” the definition of “work of the United States Government”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does not allow agreements that the employee or officer will own copyright in the</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relevant works.</w:t>
      </w:r>
      <w:r w:rsidR="00AC4727">
        <w:rPr>
          <w:rFonts w:ascii="Californian FB" w:hAnsi="Californian FB" w:cs="Times New Roman"/>
          <w:color w:val="000000"/>
          <w:sz w:val="24"/>
          <w:szCs w:val="24"/>
        </w:rPr>
        <w:t xml:space="preserve">  Given all of this, what is the status of President Trump’s voluminous Tweets?  Are they prepared as part of his “official duties”?  </w:t>
      </w:r>
    </w:p>
    <w:p w14:paraId="12A4AD84" w14:textId="77777777" w:rsidR="00260C60" w:rsidRPr="005C075C"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52A14EF5"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sidRPr="005C075C">
        <w:rPr>
          <w:rFonts w:ascii="Californian FB" w:hAnsi="Californian FB" w:cs="Times New Roman"/>
          <w:color w:val="000000"/>
          <w:sz w:val="24"/>
          <w:szCs w:val="24"/>
        </w:rPr>
        <w:t>Second, whereas the copyright of works made for hire vests in the employer,</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United States Government works enter into the public domain—they are simply</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“not eligible for copyright protection.”</w:t>
      </w:r>
    </w:p>
    <w:p w14:paraId="115EFB14"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03D2DB3A" w14:textId="77777777" w:rsidR="00260C60" w:rsidRPr="000F5BAB"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An interesting wrinkle to § 105 was recently added by an amendment tucked away deep in the National Defense Authorization Act for Fiscal Year 2020. Section 544 of that Act amends § 105 to provide </w:t>
      </w:r>
      <w:proofErr w:type="gramStart"/>
      <w:r>
        <w:rPr>
          <w:rFonts w:ascii="Californian FB" w:hAnsi="Californian FB" w:cs="Times New Roman"/>
          <w:color w:val="000000"/>
          <w:sz w:val="24"/>
          <w:szCs w:val="24"/>
        </w:rPr>
        <w:t>that civilian members of the faculties</w:t>
      </w:r>
      <w:proofErr w:type="gramEnd"/>
      <w:r>
        <w:rPr>
          <w:rFonts w:ascii="Californian FB" w:hAnsi="Californian FB" w:cs="Times New Roman"/>
          <w:color w:val="000000"/>
          <w:sz w:val="24"/>
          <w:szCs w:val="24"/>
        </w:rPr>
        <w:t xml:space="preserve"> of twelve specified military educational institutions own copyright in literary works that they produce in the course of their employment for publication in a scholarly press or journal. </w:t>
      </w:r>
      <w:r>
        <w:rPr>
          <w:rFonts w:ascii="Californian FB" w:hAnsi="Californian FB" w:cs="Times New Roman"/>
          <w:i/>
          <w:iCs/>
          <w:color w:val="000000"/>
          <w:sz w:val="24"/>
          <w:szCs w:val="24"/>
        </w:rPr>
        <w:t xml:space="preserve">See </w:t>
      </w:r>
      <w:proofErr w:type="spellStart"/>
      <w:r w:rsidRPr="000F5BAB">
        <w:rPr>
          <w:rFonts w:ascii="Californian FB" w:hAnsi="Californian FB" w:cs="Times New Roman"/>
          <w:color w:val="000000"/>
          <w:sz w:val="24"/>
          <w:szCs w:val="24"/>
        </w:rPr>
        <w:t>Pub.L</w:t>
      </w:r>
      <w:proofErr w:type="spellEnd"/>
      <w:r w:rsidRPr="000F5BAB">
        <w:rPr>
          <w:rFonts w:ascii="Californian FB" w:hAnsi="Californian FB" w:cs="Times New Roman"/>
          <w:color w:val="000000"/>
          <w:sz w:val="24"/>
          <w:szCs w:val="24"/>
        </w:rPr>
        <w:t xml:space="preserve">. 116-92, § 544, 133 Stat. </w:t>
      </w:r>
      <w:r>
        <w:rPr>
          <w:rFonts w:ascii="Californian FB" w:hAnsi="Californian FB" w:cs="Times New Roman"/>
          <w:color w:val="000000"/>
          <w:sz w:val="24"/>
          <w:szCs w:val="24"/>
        </w:rPr>
        <w:t xml:space="preserve">1198, </w:t>
      </w:r>
      <w:r w:rsidRPr="000F5BAB">
        <w:rPr>
          <w:rFonts w:ascii="Californian FB" w:hAnsi="Californian FB" w:cs="Times New Roman"/>
          <w:color w:val="000000"/>
          <w:sz w:val="24"/>
          <w:szCs w:val="24"/>
        </w:rPr>
        <w:t>1376</w:t>
      </w:r>
      <w:r>
        <w:rPr>
          <w:rFonts w:ascii="Californian FB" w:hAnsi="Californian FB" w:cs="Times New Roman"/>
          <w:color w:val="000000"/>
          <w:sz w:val="24"/>
          <w:szCs w:val="24"/>
        </w:rPr>
        <w:t xml:space="preserve"> (enacted December 20, 2019</w:t>
      </w:r>
      <w:r w:rsidRPr="000F5BAB">
        <w:rPr>
          <w:rFonts w:ascii="Californian FB" w:hAnsi="Californian FB" w:cs="Times New Roman"/>
          <w:color w:val="000000"/>
          <w:sz w:val="24"/>
          <w:szCs w:val="24"/>
        </w:rPr>
        <w:t>)</w:t>
      </w:r>
      <w:r>
        <w:rPr>
          <w:rFonts w:ascii="Californian FB" w:hAnsi="Californian FB" w:cs="Times New Roman"/>
          <w:color w:val="000000"/>
          <w:sz w:val="24"/>
          <w:szCs w:val="24"/>
        </w:rPr>
        <w:t>. You may recall that some courts have recognized a “teacher” or “professor” exception to the work made for hire doctrine that is not found in the text of the Copyright Act.  See the discussion on pages 616 to 618 of the main volume. This recent amendment could be seen as the first textual acknowledgement of that exception, limited to instructors at specified military educational institutions.</w:t>
      </w:r>
    </w:p>
    <w:p w14:paraId="4B30F2F2"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8"/>
          <w:szCs w:val="28"/>
        </w:rPr>
      </w:pPr>
    </w:p>
    <w:p w14:paraId="2FE51491" w14:textId="77777777" w:rsidR="00260C60" w:rsidRPr="005C075C" w:rsidRDefault="00260C60" w:rsidP="00260C60">
      <w:pPr>
        <w:widowControl w:val="0"/>
        <w:autoSpaceDE w:val="0"/>
        <w:autoSpaceDN w:val="0"/>
        <w:adjustRightInd w:val="0"/>
        <w:spacing w:after="0" w:line="240" w:lineRule="auto"/>
        <w:ind w:firstLine="360"/>
        <w:jc w:val="both"/>
        <w:rPr>
          <w:rFonts w:ascii="Californian FB" w:hAnsi="Californian FB" w:cs="Times New Roman"/>
          <w:b/>
          <w:bCs/>
          <w:color w:val="000000"/>
          <w:sz w:val="28"/>
          <w:szCs w:val="28"/>
        </w:rPr>
      </w:pPr>
      <w:r>
        <w:rPr>
          <w:rFonts w:ascii="Californian FB" w:hAnsi="Californian FB" w:cs="Times New Roman"/>
          <w:b/>
          <w:bCs/>
          <w:color w:val="000000"/>
          <w:sz w:val="28"/>
          <w:szCs w:val="28"/>
        </w:rPr>
        <w:t>b</w:t>
      </w:r>
      <w:r w:rsidRPr="005C075C">
        <w:rPr>
          <w:rFonts w:ascii="Californian FB" w:hAnsi="Californian FB" w:cs="Times New Roman"/>
          <w:b/>
          <w:bCs/>
          <w:color w:val="000000"/>
          <w:sz w:val="28"/>
          <w:szCs w:val="28"/>
        </w:rPr>
        <w:t>. State Governments</w:t>
      </w:r>
    </w:p>
    <w:p w14:paraId="0252D2AD"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4"/>
          <w:szCs w:val="24"/>
        </w:rPr>
      </w:pPr>
    </w:p>
    <w:p w14:paraId="3E68DBB6" w14:textId="77777777" w:rsidR="00260C60" w:rsidRPr="00536D0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The Copyright Act does not contain any specific provision regarding authorship by state government employees, or ownership of the works that they produce.  </w:t>
      </w:r>
      <w:r w:rsidRPr="005C075C">
        <w:rPr>
          <w:rFonts w:ascii="Californian FB" w:hAnsi="Californian FB" w:cs="Times New Roman"/>
          <w:color w:val="000000"/>
          <w:sz w:val="24"/>
          <w:szCs w:val="24"/>
        </w:rPr>
        <w:t>A search of the Copyright Office’s registration database</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reveals many registrations of works claimed to be owned by state governments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as works made for hire. For example, a 244-page book titled “Basic Boating Course:</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was registered in 1978 by the State of Maryland as the employer</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 xml:space="preserve">for hire of author Nancy Brake. </w:t>
      </w:r>
      <w:r>
        <w:rPr>
          <w:rFonts w:ascii="Californian FB" w:hAnsi="Californian FB" w:cs="Times New Roman"/>
          <w:color w:val="000000"/>
          <w:sz w:val="24"/>
          <w:szCs w:val="24"/>
        </w:rPr>
        <w:t>Some state laws explicitly authorize state or local agencies to claim copyright in materials they produce. For example, a California statute provides: “</w:t>
      </w:r>
      <w:r w:rsidRPr="00536D00">
        <w:rPr>
          <w:rFonts w:ascii="Californian FB" w:hAnsi="Californian FB" w:cs="Times New Roman"/>
          <w:color w:val="000000"/>
          <w:sz w:val="24"/>
          <w:szCs w:val="24"/>
        </w:rPr>
        <w:t>"Any county board of education may secure copyrights, in the name of the board, to all copyrightable works developed by the board, and royalties or revenue from such copyrights are to be for the benefit of the board securing such copyrights.</w:t>
      </w:r>
      <w:r>
        <w:rPr>
          <w:rFonts w:ascii="Californian FB" w:hAnsi="Californian FB" w:cs="Times New Roman"/>
          <w:color w:val="000000"/>
          <w:sz w:val="24"/>
          <w:szCs w:val="24"/>
        </w:rPr>
        <w:t xml:space="preserve">”  Cal. Ed. Code </w:t>
      </w:r>
      <w:r w:rsidRPr="00536D00">
        <w:rPr>
          <w:rFonts w:ascii="Californian FB" w:hAnsi="Californian FB" w:cs="Times New Roman"/>
          <w:color w:val="000000"/>
          <w:sz w:val="24"/>
          <w:szCs w:val="24"/>
        </w:rPr>
        <w:t>§ 1044</w:t>
      </w:r>
      <w:r>
        <w:rPr>
          <w:rFonts w:ascii="Californian FB" w:hAnsi="Californian FB" w:cs="Times New Roman"/>
          <w:color w:val="000000"/>
          <w:sz w:val="24"/>
          <w:szCs w:val="24"/>
        </w:rPr>
        <w:t xml:space="preserve"> (West 2019).  Other state law has been interpreted to explicitly forbid state and local agencies from claiming copyright in particular materials.  For instances, in </w:t>
      </w:r>
      <w:proofErr w:type="spellStart"/>
      <w:r w:rsidRPr="00536D00">
        <w:rPr>
          <w:rFonts w:ascii="Californian FB" w:hAnsi="Californian FB" w:cs="Times New Roman"/>
          <w:color w:val="000000"/>
          <w:sz w:val="24"/>
          <w:szCs w:val="24"/>
        </w:rPr>
        <w:t>Microdecisions</w:t>
      </w:r>
      <w:proofErr w:type="spellEnd"/>
      <w:r w:rsidRPr="00536D00">
        <w:rPr>
          <w:rFonts w:ascii="Californian FB" w:hAnsi="Californian FB" w:cs="Times New Roman"/>
          <w:color w:val="000000"/>
          <w:sz w:val="24"/>
          <w:szCs w:val="24"/>
        </w:rPr>
        <w:t>, Inc. v. Skinner, 889 So.2d 871 (Fla. 2d Dist. App. 2004)</w:t>
      </w:r>
      <w:r>
        <w:rPr>
          <w:rFonts w:ascii="Californian FB" w:hAnsi="Californian FB" w:cs="Times New Roman"/>
          <w:color w:val="000000"/>
          <w:sz w:val="24"/>
          <w:szCs w:val="24"/>
        </w:rPr>
        <w:t xml:space="preserve">, a Florida court of appeals held that a county property appraiser could not claim copyright in maps created in that office, because those maps were public records in which Florida law prohibited any assertion of </w:t>
      </w:r>
      <w:r>
        <w:rPr>
          <w:rFonts w:ascii="Californian FB" w:hAnsi="Californian FB" w:cs="Times New Roman"/>
          <w:color w:val="000000"/>
          <w:sz w:val="24"/>
          <w:szCs w:val="24"/>
        </w:rPr>
        <w:lastRenderedPageBreak/>
        <w:t>copyright without specific statutory authorization.</w:t>
      </w:r>
    </w:p>
    <w:p w14:paraId="57C1BD0B"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p>
    <w:p w14:paraId="3E7E3D5E" w14:textId="77777777" w:rsidR="00260C60" w:rsidRPr="005C075C"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0C0507FB" w14:textId="77777777" w:rsidR="00260C60" w:rsidRPr="00C55113"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4"/>
          <w:szCs w:val="24"/>
        </w:rPr>
      </w:pPr>
      <w:r w:rsidRPr="00C55113">
        <w:rPr>
          <w:rFonts w:ascii="Californian FB" w:hAnsi="Californian FB" w:cs="Times New Roman"/>
          <w:b/>
          <w:bCs/>
          <w:color w:val="000000"/>
          <w:sz w:val="28"/>
          <w:szCs w:val="28"/>
        </w:rPr>
        <w:t xml:space="preserve">3. Government </w:t>
      </w:r>
      <w:r>
        <w:rPr>
          <w:rFonts w:ascii="Californian FB" w:hAnsi="Californian FB" w:cs="Times New Roman"/>
          <w:b/>
          <w:bCs/>
          <w:color w:val="000000"/>
          <w:sz w:val="28"/>
          <w:szCs w:val="28"/>
        </w:rPr>
        <w:t>Acquisition</w:t>
      </w:r>
      <w:r w:rsidRPr="00C55113">
        <w:rPr>
          <w:rFonts w:ascii="Californian FB" w:hAnsi="Californian FB" w:cs="Times New Roman"/>
          <w:b/>
          <w:bCs/>
          <w:color w:val="000000"/>
          <w:sz w:val="28"/>
          <w:szCs w:val="28"/>
        </w:rPr>
        <w:t xml:space="preserve"> of Copyright by </w:t>
      </w:r>
      <w:r>
        <w:rPr>
          <w:rFonts w:ascii="Californian FB" w:hAnsi="Californian FB" w:cs="Times New Roman"/>
          <w:b/>
          <w:bCs/>
          <w:color w:val="000000"/>
          <w:sz w:val="28"/>
          <w:szCs w:val="28"/>
        </w:rPr>
        <w:t>Transfer</w:t>
      </w:r>
      <w:r w:rsidRPr="00C55113">
        <w:rPr>
          <w:rFonts w:ascii="Californian FB" w:hAnsi="Californian FB" w:cs="Times New Roman"/>
          <w:b/>
          <w:bCs/>
          <w:color w:val="000000"/>
          <w:sz w:val="24"/>
          <w:szCs w:val="24"/>
        </w:rPr>
        <w:t xml:space="preserve"> </w:t>
      </w:r>
    </w:p>
    <w:p w14:paraId="380FF0F1"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569B0F56" w14:textId="0EBEEAEE"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The second clause of § 1</w:t>
      </w:r>
      <w:r w:rsidRPr="005C075C">
        <w:rPr>
          <w:rFonts w:ascii="Californian FB" w:hAnsi="Californian FB" w:cs="Times New Roman"/>
          <w:color w:val="000000"/>
          <w:sz w:val="24"/>
          <w:szCs w:val="24"/>
        </w:rPr>
        <w:t>05</w:t>
      </w:r>
      <w:r>
        <w:rPr>
          <w:rFonts w:ascii="Californian FB" w:hAnsi="Californian FB" w:cs="Times New Roman"/>
          <w:color w:val="000000"/>
          <w:sz w:val="24"/>
          <w:szCs w:val="24"/>
        </w:rPr>
        <w:t xml:space="preserve">(a) of the Copyright Act provides that </w:t>
      </w:r>
      <w:r w:rsidRPr="0052281A">
        <w:rPr>
          <w:rFonts w:ascii="Californian FB" w:hAnsi="Californian FB" w:cs="Times New Roman"/>
          <w:color w:val="000000"/>
          <w:sz w:val="24"/>
          <w:szCs w:val="24"/>
        </w:rPr>
        <w:t>United States Government is not precluded from receiving and holding copyrights transferred to it by assignment, bequest, or otherwise.</w:t>
      </w:r>
      <w:r>
        <w:rPr>
          <w:rFonts w:ascii="Californian FB" w:hAnsi="Californian FB" w:cs="Times New Roman"/>
          <w:color w:val="000000"/>
          <w:sz w:val="24"/>
          <w:szCs w:val="24"/>
        </w:rPr>
        <w:t xml:space="preserve">”  17 U.S.C. § 105(a).  Thus, although the federal government cannot hold copyright in a work produced by a government employee, it can take an assignment of copyright in a work produced by an independent contractor. </w:t>
      </w:r>
      <w:r w:rsidR="00C4584D">
        <w:rPr>
          <w:rFonts w:ascii="Californian FB" w:hAnsi="Californian FB" w:cs="Times New Roman"/>
          <w:color w:val="000000"/>
          <w:sz w:val="24"/>
          <w:szCs w:val="24"/>
        </w:rPr>
        <w:t xml:space="preserve">(For examples of this distinction involving copyright in stamp and coin designs, see the breakout box on </w:t>
      </w:r>
      <w:r w:rsidR="000633CD">
        <w:rPr>
          <w:rFonts w:ascii="Californian FB" w:hAnsi="Californian FB" w:cs="Times New Roman"/>
          <w:color w:val="000000"/>
          <w:sz w:val="24"/>
          <w:szCs w:val="24"/>
        </w:rPr>
        <w:t xml:space="preserve">p. 628 of the main volume.) </w:t>
      </w:r>
      <w:r w:rsidRPr="005C075C">
        <w:rPr>
          <w:rFonts w:ascii="Californian FB" w:hAnsi="Californian FB" w:cs="Times New Roman"/>
          <w:color w:val="000000"/>
          <w:sz w:val="24"/>
          <w:szCs w:val="24"/>
        </w:rPr>
        <w:t>This could sometimes produce an odd incentive to contract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 xml:space="preserve">work out, couldn’t it? If a </w:t>
      </w:r>
      <w:r>
        <w:rPr>
          <w:rFonts w:ascii="Californian FB" w:hAnsi="Californian FB" w:cs="Times New Roman"/>
          <w:color w:val="000000"/>
          <w:sz w:val="24"/>
          <w:szCs w:val="24"/>
        </w:rPr>
        <w:t xml:space="preserve">federal </w:t>
      </w:r>
      <w:r w:rsidRPr="005C075C">
        <w:rPr>
          <w:rFonts w:ascii="Californian FB" w:hAnsi="Californian FB" w:cs="Times New Roman"/>
          <w:color w:val="000000"/>
          <w:sz w:val="24"/>
          <w:szCs w:val="24"/>
        </w:rPr>
        <w:t>government agency has its own employee produce a book</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or a design, it cannot use copyright law to maintain control over that work, but if</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it commissions that work from a private individual, it can take an assignment of</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copyright and enforce that copyright against would-be copiers.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Should government agencies be able to hold copyrights and collect licensing</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fees from private entities and individuals who wish to use such works? The House</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Report on the 1976 Act noted one argument against allowing copyright, namely,</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that “the public should not be required to pay a ‘double subsidy,’” H.R. Rep. No.</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94-1476, 94th Cong., 2d Sess. 58 (1976). On the other hand, if a government</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agency received licensing fees from government-owned works such as photographs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or guidebooks, it would in theory be able to reduce its dependence on tax revenues,</w:t>
      </w:r>
      <w:r>
        <w:rPr>
          <w:rFonts w:ascii="Californian FB" w:hAnsi="Californian FB" w:cs="Times New Roman"/>
          <w:color w:val="000000"/>
          <w:sz w:val="24"/>
          <w:szCs w:val="24"/>
        </w:rPr>
        <w:t xml:space="preserve"> </w:t>
      </w:r>
      <w:r w:rsidRPr="005C075C">
        <w:rPr>
          <w:rFonts w:ascii="Californian FB" w:hAnsi="Californian FB" w:cs="Times New Roman"/>
          <w:color w:val="000000"/>
          <w:sz w:val="24"/>
          <w:szCs w:val="24"/>
        </w:rPr>
        <w:t>wouldn’t it?</w:t>
      </w:r>
    </w:p>
    <w:p w14:paraId="15A84284"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730C877C"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i/>
          <w:iCs/>
          <w:color w:val="000000"/>
          <w:sz w:val="24"/>
          <w:szCs w:val="24"/>
        </w:rPr>
        <w:t xml:space="preserve">Limits on Government Ownership by Transfer in Works that Become Legally Binding.  </w:t>
      </w:r>
      <w:r>
        <w:rPr>
          <w:rFonts w:ascii="Californian FB" w:hAnsi="Californian FB" w:cs="Times New Roman"/>
          <w:color w:val="000000"/>
          <w:sz w:val="24"/>
          <w:szCs w:val="24"/>
        </w:rPr>
        <w:t xml:space="preserve">The federal government is explicitly authorized by § 105 to hold and enforce copyrights that it has received by transfer, and states are implicitly authorized to do so as well, since the Copyright Act imposes no restriction on state acquisition of copyrights.  However, that does raise the issue of whether the Supreme Court would allow federal or state governments to assert copyright in materials in which they had acquired copyright by transfer, and then gave binding legal force or otherwise designated as official. Suppose, for example, that a private individual or organization had drafted rules limiting emissions of certain pollutants into the air.  A governmental body – which could be Congress or a state legislature or a regulatory agency – then obtained copyright in that body of rules by assignment, and enacted it into law or issued it as regulations. Could the government assert copyright in those rules, now legally binding?  Courts would almost certainly hold that it could not. Yet consider how that issue is not quite resolved by the Supreme Court in </w:t>
      </w:r>
      <w:r>
        <w:rPr>
          <w:rFonts w:ascii="Californian FB" w:hAnsi="Californian FB" w:cs="Times New Roman"/>
          <w:i/>
          <w:iCs/>
          <w:color w:val="000000"/>
          <w:sz w:val="24"/>
          <w:szCs w:val="24"/>
        </w:rPr>
        <w:t xml:space="preserve">Georgia v. Public.Resource.Org. </w:t>
      </w:r>
      <w:r>
        <w:rPr>
          <w:rFonts w:ascii="Californian FB" w:hAnsi="Californian FB" w:cs="Times New Roman"/>
          <w:color w:val="000000"/>
          <w:sz w:val="24"/>
          <w:szCs w:val="24"/>
        </w:rPr>
        <w:t xml:space="preserve">In that case, Georgia happened to enter into a work-made-for-hire agreement with Lexis, so that under the Copyright Act, Georgia was considered to be the </w:t>
      </w:r>
      <w:r w:rsidRPr="00FE1BE8">
        <w:rPr>
          <w:rFonts w:ascii="Californian FB" w:hAnsi="Californian FB" w:cs="Times New Roman"/>
          <w:i/>
          <w:iCs/>
          <w:color w:val="000000"/>
          <w:sz w:val="24"/>
          <w:szCs w:val="24"/>
        </w:rPr>
        <w:t>author</w:t>
      </w:r>
      <w:r>
        <w:rPr>
          <w:rFonts w:ascii="Californian FB" w:hAnsi="Californian FB" w:cs="Times New Roman"/>
          <w:color w:val="000000"/>
          <w:sz w:val="24"/>
          <w:szCs w:val="24"/>
        </w:rPr>
        <w:t xml:space="preserve"> of the annotations at issue in that case. That enabled the </w:t>
      </w:r>
      <w:proofErr w:type="gramStart"/>
      <w:r>
        <w:rPr>
          <w:rFonts w:ascii="Californian FB" w:hAnsi="Californian FB" w:cs="Times New Roman"/>
          <w:i/>
          <w:iCs/>
          <w:color w:val="000000"/>
          <w:sz w:val="24"/>
          <w:szCs w:val="24"/>
        </w:rPr>
        <w:t>Public.Resource.Org</w:t>
      </w:r>
      <w:proofErr w:type="gramEnd"/>
      <w:r>
        <w:rPr>
          <w:rFonts w:ascii="Californian FB" w:hAnsi="Californian FB" w:cs="Times New Roman"/>
          <w:i/>
          <w:iCs/>
          <w:color w:val="000000"/>
          <w:sz w:val="24"/>
          <w:szCs w:val="24"/>
        </w:rPr>
        <w:t xml:space="preserve"> </w:t>
      </w:r>
      <w:r>
        <w:rPr>
          <w:rFonts w:ascii="Californian FB" w:hAnsi="Californian FB" w:cs="Times New Roman"/>
          <w:color w:val="000000"/>
          <w:sz w:val="24"/>
          <w:szCs w:val="24"/>
        </w:rPr>
        <w:t xml:space="preserve">Court to analyze that case in terms of </w:t>
      </w:r>
      <w:r w:rsidRPr="00FE1BE8">
        <w:rPr>
          <w:rFonts w:ascii="Californian FB" w:hAnsi="Californian FB" w:cs="Times New Roman"/>
          <w:color w:val="000000"/>
          <w:sz w:val="24"/>
          <w:szCs w:val="24"/>
        </w:rPr>
        <w:t>authorship</w:t>
      </w:r>
      <w:r>
        <w:rPr>
          <w:rFonts w:ascii="Californian FB" w:hAnsi="Californian FB" w:cs="Times New Roman"/>
          <w:color w:val="000000"/>
          <w:sz w:val="24"/>
          <w:szCs w:val="24"/>
        </w:rPr>
        <w:t>, and to decide that the Copyright Act would not recognize Georgia officials empowered to speak with the force of law as authors of anything they created in their official capacity.</w:t>
      </w:r>
    </w:p>
    <w:p w14:paraId="42B68F77"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70AAA5F7" w14:textId="77777777" w:rsidR="00260C60" w:rsidRPr="007E612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Under altered facts, if a private individual created an original work consisting of potential rules or guidelines regarding air pollution, there does not seem to be any doubt that the Copyright Act would recognize that individual as an author.  Suppose that at some later date, a government obtains copyright in that work by transfer. Then the government gives that work legal force.  A court could simply conclude that no work that is legally binding is under copyright.  However, if </w:t>
      </w:r>
      <w:r>
        <w:rPr>
          <w:rFonts w:ascii="Californian FB" w:hAnsi="Californian FB" w:cs="Times New Roman"/>
          <w:color w:val="000000"/>
          <w:sz w:val="24"/>
          <w:szCs w:val="24"/>
        </w:rPr>
        <w:lastRenderedPageBreak/>
        <w:t>it wanted to tie that conclusion to some other existing copyright law concept, how would it do so?  It seems to stretch copyright doctrine considerably to conclude that the government has become the</w:t>
      </w:r>
      <w:r w:rsidRPr="003D3549">
        <w:rPr>
          <w:rFonts w:ascii="Californian FB" w:hAnsi="Californian FB" w:cs="Times New Roman"/>
          <w:i/>
          <w:iCs/>
          <w:color w:val="000000"/>
          <w:sz w:val="24"/>
          <w:szCs w:val="24"/>
        </w:rPr>
        <w:t xml:space="preserve"> author</w:t>
      </w:r>
      <w:r>
        <w:rPr>
          <w:rFonts w:ascii="Californian FB" w:hAnsi="Californian FB" w:cs="Times New Roman"/>
          <w:color w:val="000000"/>
          <w:sz w:val="24"/>
          <w:szCs w:val="24"/>
        </w:rPr>
        <w:t xml:space="preserve"> of a work in which we would have previously recognized authorship by a private individual. One alternative route is to hold that any expression in the rules or guidelines had merged with unprotectable ideas, since a rule governing conduct is an unprotectable idea, and there is only one or a very small number of ways of expressing that precise rule. That is a route taken by Fifth Circuit in the </w:t>
      </w:r>
      <w:r>
        <w:rPr>
          <w:rFonts w:ascii="Californian FB" w:hAnsi="Californian FB" w:cs="Times New Roman"/>
          <w:i/>
          <w:iCs/>
          <w:color w:val="000000"/>
          <w:sz w:val="24"/>
          <w:szCs w:val="24"/>
        </w:rPr>
        <w:t xml:space="preserve">Veeck </w:t>
      </w:r>
      <w:r>
        <w:rPr>
          <w:rFonts w:ascii="Californian FB" w:hAnsi="Californian FB" w:cs="Times New Roman"/>
          <w:color w:val="000000"/>
          <w:sz w:val="24"/>
          <w:szCs w:val="24"/>
        </w:rPr>
        <w:t>case, on p. 630 in the main volume.  However, you may conclude that this area of law is not as conceptually crystalline as it could be.</w:t>
      </w:r>
    </w:p>
    <w:p w14:paraId="5DADD77C" w14:textId="77777777" w:rsidR="00260C60" w:rsidRDefault="00260C60" w:rsidP="00260C60">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p>
    <w:p w14:paraId="71309978" w14:textId="30E07602" w:rsidR="00260C60" w:rsidRPr="008F7761" w:rsidRDefault="00A46189" w:rsidP="00260C60">
      <w:pPr>
        <w:widowControl w:val="0"/>
        <w:autoSpaceDE w:val="0"/>
        <w:autoSpaceDN w:val="0"/>
        <w:adjustRightInd w:val="0"/>
        <w:spacing w:after="0" w:line="240" w:lineRule="auto"/>
        <w:jc w:val="both"/>
        <w:rPr>
          <w:rFonts w:ascii="Californian FB" w:hAnsi="Californian FB" w:cs="Times New Roman"/>
          <w:b/>
          <w:bCs/>
          <w:color w:val="000000"/>
          <w:sz w:val="28"/>
          <w:szCs w:val="28"/>
        </w:rPr>
      </w:pPr>
      <w:r>
        <w:rPr>
          <w:rFonts w:ascii="Californian FB" w:hAnsi="Californian FB" w:cs="Times New Roman"/>
          <w:b/>
          <w:bCs/>
          <w:color w:val="000000"/>
          <w:sz w:val="28"/>
          <w:szCs w:val="28"/>
        </w:rPr>
        <w:t>4</w:t>
      </w:r>
      <w:r w:rsidR="00260C60" w:rsidRPr="008F7761">
        <w:rPr>
          <w:rFonts w:ascii="Californian FB" w:hAnsi="Californian FB" w:cs="Times New Roman"/>
          <w:b/>
          <w:bCs/>
          <w:color w:val="000000"/>
          <w:sz w:val="28"/>
          <w:szCs w:val="28"/>
        </w:rPr>
        <w:t xml:space="preserve">. </w:t>
      </w:r>
      <w:r w:rsidR="00260C60">
        <w:rPr>
          <w:rFonts w:ascii="Californian FB" w:hAnsi="Californian FB" w:cs="Times New Roman"/>
          <w:b/>
          <w:bCs/>
          <w:color w:val="000000"/>
          <w:sz w:val="28"/>
          <w:szCs w:val="28"/>
        </w:rPr>
        <w:t xml:space="preserve">Private </w:t>
      </w:r>
      <w:r w:rsidR="00260C60" w:rsidRPr="008F7761">
        <w:rPr>
          <w:rFonts w:ascii="Californian FB" w:hAnsi="Californian FB" w:cs="Times New Roman"/>
          <w:b/>
          <w:bCs/>
          <w:color w:val="000000"/>
          <w:sz w:val="28"/>
          <w:szCs w:val="28"/>
        </w:rPr>
        <w:t xml:space="preserve">Ownership </w:t>
      </w:r>
      <w:r w:rsidR="00260C60">
        <w:rPr>
          <w:rFonts w:ascii="Californian FB" w:hAnsi="Californian FB" w:cs="Times New Roman"/>
          <w:b/>
          <w:bCs/>
          <w:color w:val="000000"/>
          <w:sz w:val="28"/>
          <w:szCs w:val="28"/>
        </w:rPr>
        <w:t>of</w:t>
      </w:r>
      <w:r w:rsidR="00260C60" w:rsidRPr="008F7761">
        <w:rPr>
          <w:rFonts w:ascii="Californian FB" w:hAnsi="Californian FB" w:cs="Times New Roman"/>
          <w:b/>
          <w:bCs/>
          <w:color w:val="000000"/>
          <w:sz w:val="28"/>
          <w:szCs w:val="28"/>
        </w:rPr>
        <w:t xml:space="preserve"> Legally Binding Works.</w:t>
      </w:r>
    </w:p>
    <w:p w14:paraId="707C803C" w14:textId="77777777" w:rsidR="00260C60" w:rsidRDefault="00260C60" w:rsidP="00260C60">
      <w:pPr>
        <w:widowControl w:val="0"/>
        <w:autoSpaceDE w:val="0"/>
        <w:autoSpaceDN w:val="0"/>
        <w:adjustRightInd w:val="0"/>
        <w:spacing w:after="0" w:line="240" w:lineRule="auto"/>
        <w:jc w:val="both"/>
        <w:rPr>
          <w:rFonts w:ascii="Californian FB" w:hAnsi="Californian FB" w:cs="Times New Roman"/>
          <w:b/>
          <w:bCs/>
          <w:color w:val="000000"/>
          <w:sz w:val="28"/>
          <w:szCs w:val="28"/>
        </w:rPr>
      </w:pPr>
    </w:p>
    <w:p w14:paraId="6FF92F06" w14:textId="4D477165" w:rsidR="00260C60" w:rsidRDefault="00260C60" w:rsidP="000633CD">
      <w:pPr>
        <w:widowControl w:val="0"/>
        <w:autoSpaceDE w:val="0"/>
        <w:autoSpaceDN w:val="0"/>
        <w:adjustRightInd w:val="0"/>
        <w:spacing w:after="0" w:line="240" w:lineRule="auto"/>
        <w:ind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Lastly, we consider claims of copyright by private individuals or organizations in works that have become legally binding.  Suppose that a private individual, or a private trade organization or public interest law organization, decides to create language would serve well as a statute or regulation. A government then adopts that privately-authored work as law. It may have done so with or without the private individual or organization’s encouragement, but that encouragement can be construed at most as a non-exclusive license.  In this group of cases, the government did not take an assignment of copyright in the language it made law.  Does the individual or organization still hold copyright in the language, so that it can bring an infringement action against anyone other than the government that makes and distributes copies of what has now become law?  That is the subject of the next case.</w:t>
      </w:r>
    </w:p>
    <w:p w14:paraId="35CE467D" w14:textId="77777777" w:rsidR="00260C60" w:rsidRDefault="00260C60" w:rsidP="00ED6BE0">
      <w:pPr>
        <w:rPr>
          <w:rFonts w:ascii="Californian FB" w:hAnsi="Californian FB"/>
          <w:sz w:val="28"/>
          <w:szCs w:val="28"/>
        </w:rPr>
      </w:pPr>
    </w:p>
    <w:p w14:paraId="7656C6BF" w14:textId="5EC139AB" w:rsidR="00C55F08" w:rsidRDefault="00C55F08" w:rsidP="00ED6BE0">
      <w:pPr>
        <w:rPr>
          <w:rFonts w:ascii="Californian FB" w:hAnsi="Californian FB"/>
          <w:sz w:val="28"/>
          <w:szCs w:val="28"/>
        </w:rPr>
      </w:pPr>
      <w:r>
        <w:rPr>
          <w:rFonts w:ascii="Californian FB" w:hAnsi="Californian FB"/>
          <w:sz w:val="28"/>
          <w:szCs w:val="28"/>
        </w:rPr>
        <w:t>p. 645 – Insert after the existing material in Note 2:</w:t>
      </w:r>
    </w:p>
    <w:p w14:paraId="3562B5D3" w14:textId="020C63CA" w:rsidR="00E77E4D" w:rsidRDefault="00C55F08" w:rsidP="00ED6BE0">
      <w:pPr>
        <w:jc w:val="both"/>
        <w:rPr>
          <w:rFonts w:ascii="Californian FB" w:hAnsi="Californian FB"/>
          <w:sz w:val="24"/>
          <w:szCs w:val="24"/>
        </w:rPr>
      </w:pPr>
      <w:r>
        <w:rPr>
          <w:rFonts w:ascii="Californian FB" w:hAnsi="Californian FB"/>
          <w:sz w:val="28"/>
          <w:szCs w:val="28"/>
        </w:rPr>
        <w:tab/>
      </w:r>
      <w:r w:rsidRPr="00C55F08">
        <w:rPr>
          <w:rFonts w:ascii="Californian FB" w:hAnsi="Californian FB"/>
          <w:sz w:val="24"/>
          <w:szCs w:val="24"/>
        </w:rPr>
        <w:t xml:space="preserve">The “incorporation by reference” issue was squarely presented in </w:t>
      </w:r>
      <w:hyperlink r:id="rId271" w:history="1">
        <w:r w:rsidRPr="00E77E4D">
          <w:rPr>
            <w:rStyle w:val="Hyperlink"/>
            <w:rFonts w:ascii="Californian FB" w:hAnsi="Californian FB"/>
            <w:i/>
            <w:sz w:val="24"/>
            <w:szCs w:val="24"/>
          </w:rPr>
          <w:t>American Society For Testing And Materials v. Public.Resource.org, Inc.</w:t>
        </w:r>
        <w:r w:rsidRPr="00E77E4D">
          <w:rPr>
            <w:rStyle w:val="Hyperlink"/>
            <w:rFonts w:ascii="Californian FB" w:hAnsi="Californian FB"/>
            <w:sz w:val="24"/>
            <w:szCs w:val="24"/>
          </w:rPr>
          <w:t>, ___ F.3d ___, 2018 WL 3431738 (D.C. Cir. 2018)</w:t>
        </w:r>
      </w:hyperlink>
      <w:r w:rsidRPr="00C55F08">
        <w:rPr>
          <w:rFonts w:ascii="Californian FB" w:hAnsi="Californian FB"/>
          <w:sz w:val="24"/>
          <w:szCs w:val="24"/>
        </w:rPr>
        <w:t>.  The defendant in</w:t>
      </w:r>
      <w:r w:rsidR="00E77E4D">
        <w:rPr>
          <w:rFonts w:ascii="Californian FB" w:hAnsi="Californian FB"/>
          <w:sz w:val="24"/>
          <w:szCs w:val="24"/>
        </w:rPr>
        <w:t xml:space="preserve"> that case, public.resource.org </w:t>
      </w:r>
      <w:r w:rsidRPr="00C55F08">
        <w:rPr>
          <w:rFonts w:ascii="Californian FB" w:hAnsi="Californian FB"/>
          <w:sz w:val="24"/>
          <w:szCs w:val="24"/>
        </w:rPr>
        <w:t>(PRO)</w:t>
      </w:r>
      <w:r w:rsidR="00E77E4D">
        <w:rPr>
          <w:rFonts w:ascii="Californian FB" w:hAnsi="Californian FB"/>
          <w:sz w:val="24"/>
          <w:szCs w:val="24"/>
        </w:rPr>
        <w:t>,</w:t>
      </w:r>
      <w:r w:rsidRPr="00C55F08">
        <w:rPr>
          <w:rFonts w:ascii="Californian FB" w:hAnsi="Californian FB"/>
          <w:sz w:val="24"/>
          <w:szCs w:val="24"/>
        </w:rPr>
        <w:t xml:space="preserve"> is a non-profit organization that seeks to make the law available to the public.  Its slogan is “making government information more accessible.”  In pursuit of that goal PRO uploaded to its website hundreds of different privately authored technical standards that had been incorporated by reference in either state or federal laws or regulations.  This material was publicly available and frequently downloaded.  All of these materials were protected by copyright.  Eventually, a number of standards developing organizations, including the ASTM (formerly the American Society for Testing and Materials), sued PRO for copyright infringement.  PRO asserted two theories in its defense.  First, it claimed that once standards are incorporate</w:t>
      </w:r>
      <w:r w:rsidR="00EF27FC">
        <w:rPr>
          <w:rFonts w:ascii="Californian FB" w:hAnsi="Californian FB"/>
          <w:sz w:val="24"/>
          <w:szCs w:val="24"/>
        </w:rPr>
        <w:t>d</w:t>
      </w:r>
      <w:r w:rsidRPr="00C55F08">
        <w:rPr>
          <w:rFonts w:ascii="Californian FB" w:hAnsi="Californian FB"/>
          <w:sz w:val="24"/>
          <w:szCs w:val="24"/>
        </w:rPr>
        <w:t xml:space="preserve"> by reference they become “the law” and that, among other things, the First Amendment makes it impermissible to assert copyright claims to the law.  Second, they relied on the fair use defense.  </w:t>
      </w:r>
    </w:p>
    <w:p w14:paraId="5B008D77" w14:textId="2D4259AE" w:rsidR="00C55F08" w:rsidRPr="00C55F08" w:rsidRDefault="00C55F08" w:rsidP="00ED6BE0">
      <w:pPr>
        <w:ind w:firstLine="720"/>
        <w:jc w:val="both"/>
        <w:rPr>
          <w:rFonts w:ascii="Californian FB" w:hAnsi="Californian FB"/>
          <w:sz w:val="24"/>
          <w:szCs w:val="24"/>
        </w:rPr>
      </w:pPr>
      <w:r w:rsidRPr="00C55F08">
        <w:rPr>
          <w:rFonts w:ascii="Californian FB" w:hAnsi="Californian FB"/>
          <w:sz w:val="24"/>
          <w:szCs w:val="24"/>
        </w:rPr>
        <w:t xml:space="preserve">The DC Circuit confined its consideration to the fair use issue, leaving “for another day” the issue of whether it is </w:t>
      </w:r>
      <w:r w:rsidR="00E77E4D">
        <w:rPr>
          <w:rFonts w:ascii="Californian FB" w:hAnsi="Californian FB"/>
          <w:sz w:val="24"/>
          <w:szCs w:val="24"/>
        </w:rPr>
        <w:t>c</w:t>
      </w:r>
      <w:r w:rsidRPr="00C55F08">
        <w:rPr>
          <w:rFonts w:ascii="Californian FB" w:hAnsi="Californian FB"/>
          <w:sz w:val="24"/>
          <w:szCs w:val="24"/>
        </w:rPr>
        <w:t>onstitutional for copyright protection to apply to private works that have been incorporated by reference into binding legal materials.  On the fair use issue, the appellate court reversed the summary judgment for plaintiffs that had been entered below.  It found that there were genuine issues of material fact on the fair use issue, and emp</w:t>
      </w:r>
      <w:r w:rsidR="005204FB">
        <w:rPr>
          <w:rFonts w:ascii="Californian FB" w:hAnsi="Californian FB"/>
          <w:sz w:val="24"/>
          <w:szCs w:val="24"/>
        </w:rPr>
        <w:t>hasized that on remand, the tria</w:t>
      </w:r>
      <w:r w:rsidRPr="00C55F08">
        <w:rPr>
          <w:rFonts w:ascii="Californian FB" w:hAnsi="Californian FB"/>
          <w:sz w:val="24"/>
          <w:szCs w:val="24"/>
        </w:rPr>
        <w:t>l court would have to proceed standard</w:t>
      </w:r>
      <w:r w:rsidR="00E77E4D">
        <w:rPr>
          <w:rFonts w:ascii="Californian FB" w:hAnsi="Californian FB"/>
          <w:sz w:val="24"/>
          <w:szCs w:val="24"/>
        </w:rPr>
        <w:t>-</w:t>
      </w:r>
      <w:r w:rsidRPr="00C55F08">
        <w:rPr>
          <w:rFonts w:ascii="Californian FB" w:hAnsi="Californian FB"/>
          <w:sz w:val="24"/>
          <w:szCs w:val="24"/>
        </w:rPr>
        <w:t>by</w:t>
      </w:r>
      <w:r w:rsidR="00E77E4D">
        <w:rPr>
          <w:rFonts w:ascii="Californian FB" w:hAnsi="Californian FB"/>
          <w:sz w:val="24"/>
          <w:szCs w:val="24"/>
        </w:rPr>
        <w:t>-</w:t>
      </w:r>
      <w:r w:rsidRPr="00C55F08">
        <w:rPr>
          <w:rFonts w:ascii="Californian FB" w:hAnsi="Californian FB"/>
          <w:sz w:val="24"/>
          <w:szCs w:val="24"/>
        </w:rPr>
        <w:t xml:space="preserve">standard to evaluate the fair use claim.  For standards that were explicitly referenced as binding, it strongly hinted that the defendant </w:t>
      </w:r>
      <w:r w:rsidRPr="00C55F08">
        <w:rPr>
          <w:rFonts w:ascii="Californian FB" w:hAnsi="Californian FB"/>
          <w:sz w:val="24"/>
          <w:szCs w:val="24"/>
        </w:rPr>
        <w:lastRenderedPageBreak/>
        <w:t>should be free to make copies.  Where the copy</w:t>
      </w:r>
      <w:r w:rsidR="005204FB">
        <w:rPr>
          <w:rFonts w:ascii="Californian FB" w:hAnsi="Californian FB"/>
          <w:sz w:val="24"/>
          <w:szCs w:val="24"/>
        </w:rPr>
        <w:t>ing</w:t>
      </w:r>
      <w:r w:rsidRPr="00C55F08">
        <w:rPr>
          <w:rFonts w:ascii="Californian FB" w:hAnsi="Californian FB"/>
          <w:sz w:val="24"/>
          <w:szCs w:val="24"/>
        </w:rPr>
        <w:t xml:space="preserve"> was more extensive than that and related to provisions of standards that were not formally referenced in binding law, the implication was that fair use would be unavailable.  Given the amount of material on PRO’s site, we do not envy the district court</w:t>
      </w:r>
      <w:r w:rsidR="005204FB">
        <w:rPr>
          <w:rFonts w:ascii="Californian FB" w:hAnsi="Californian FB"/>
          <w:sz w:val="24"/>
          <w:szCs w:val="24"/>
        </w:rPr>
        <w:t>,</w:t>
      </w:r>
      <w:r w:rsidRPr="00C55F08">
        <w:rPr>
          <w:rFonts w:ascii="Californian FB" w:hAnsi="Californian FB"/>
          <w:sz w:val="24"/>
          <w:szCs w:val="24"/>
        </w:rPr>
        <w:t xml:space="preserve"> which will have to invest considerable time and effort to wade through each item individually.  On the other hand, we envy the lawyers their fees.</w:t>
      </w:r>
    </w:p>
    <w:p w14:paraId="3F3FFF26" w14:textId="300657DE" w:rsidR="00C55F08" w:rsidRDefault="00847570" w:rsidP="00ED6BE0">
      <w:pPr>
        <w:rPr>
          <w:rFonts w:ascii="Californian FB" w:hAnsi="Californian FB"/>
          <w:szCs w:val="24"/>
        </w:rPr>
      </w:pPr>
      <w:r w:rsidRPr="00CB685F">
        <w:rPr>
          <w:rFonts w:ascii="Californian FB" w:hAnsi="Californian FB"/>
          <w:noProof/>
          <w:sz w:val="28"/>
          <w:szCs w:val="28"/>
        </w:rPr>
        <w:drawing>
          <wp:anchor distT="0" distB="0" distL="114300" distR="114300" simplePos="0" relativeHeight="251670528" behindDoc="0" locked="0" layoutInCell="1" allowOverlap="1" wp14:anchorId="5B4C12F1" wp14:editId="1C90045B">
            <wp:simplePos x="0" y="0"/>
            <wp:positionH relativeFrom="margin">
              <wp:posOffset>1010920</wp:posOffset>
            </wp:positionH>
            <wp:positionV relativeFrom="paragraph">
              <wp:posOffset>-1270</wp:posOffset>
            </wp:positionV>
            <wp:extent cx="1668145" cy="1676400"/>
            <wp:effectExtent l="0" t="0" r="8255" b="0"/>
            <wp:wrapSquare wrapText="bothSides"/>
            <wp:docPr id="9" name="Picture 9" descr="seal of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l of approval"/>
                    <pic:cNvPicPr>
                      <a:picLocks noChangeAspect="1" noChangeArrowheads="1"/>
                    </pic:cNvPicPr>
                  </pic:nvPicPr>
                  <pic:blipFill>
                    <a:blip r:embed="rId272">
                      <a:extLst>
                        <a:ext uri="{28A0092B-C50C-407E-A947-70E740481C1C}">
                          <a14:useLocalDpi xmlns:a14="http://schemas.microsoft.com/office/drawing/2010/main"/>
                        </a:ext>
                      </a:extLst>
                    </a:blip>
                    <a:srcRect/>
                    <a:stretch>
                      <a:fillRect/>
                    </a:stretch>
                  </pic:blipFill>
                  <pic:spPr bwMode="auto">
                    <a:xfrm>
                      <a:off x="0" y="0"/>
                      <a:ext cx="166814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C2462" w14:textId="1CCDBC11" w:rsidR="00C55F08" w:rsidRDefault="00C55F08" w:rsidP="00ED6BE0">
      <w:pPr>
        <w:rPr>
          <w:rFonts w:ascii="Californian FB" w:hAnsi="Californian FB"/>
          <w:sz w:val="28"/>
          <w:szCs w:val="28"/>
        </w:rPr>
      </w:pPr>
    </w:p>
    <w:p w14:paraId="597C7354" w14:textId="556F8808" w:rsidR="00C55F08" w:rsidRDefault="00C55F08" w:rsidP="00ED6BE0">
      <w:pPr>
        <w:rPr>
          <w:rFonts w:ascii="Californian FB" w:hAnsi="Californian FB"/>
          <w:sz w:val="28"/>
          <w:szCs w:val="28"/>
        </w:rPr>
      </w:pPr>
    </w:p>
    <w:p w14:paraId="16615268" w14:textId="77777777" w:rsidR="00C55F08" w:rsidRDefault="00C55F08" w:rsidP="00ED6BE0">
      <w:pPr>
        <w:rPr>
          <w:rFonts w:ascii="Californian FB" w:hAnsi="Californian FB"/>
          <w:sz w:val="28"/>
          <w:szCs w:val="28"/>
        </w:rPr>
      </w:pPr>
    </w:p>
    <w:p w14:paraId="2EA3210C" w14:textId="5FF1D198" w:rsidR="00C55F08" w:rsidRDefault="00C55F08" w:rsidP="00ED6BE0">
      <w:pPr>
        <w:rPr>
          <w:rFonts w:ascii="Californian FB" w:hAnsi="Californian FB"/>
          <w:sz w:val="28"/>
          <w:szCs w:val="28"/>
        </w:rPr>
      </w:pPr>
    </w:p>
    <w:p w14:paraId="433784DA" w14:textId="5B02A655" w:rsidR="00C55F08" w:rsidRDefault="00847570" w:rsidP="00ED6BE0">
      <w:pPr>
        <w:rPr>
          <w:rFonts w:ascii="Californian FB" w:hAnsi="Californian FB"/>
          <w:sz w:val="28"/>
          <w:szCs w:val="28"/>
        </w:rPr>
      </w:pPr>
      <w:r w:rsidRPr="00956A47">
        <w:rPr>
          <w:rFonts w:ascii="Californian FB" w:hAnsi="Californian FB"/>
          <w:noProof/>
          <w:sz w:val="28"/>
          <w:szCs w:val="28"/>
        </w:rPr>
        <w:drawing>
          <wp:anchor distT="0" distB="0" distL="114300" distR="114300" simplePos="0" relativeHeight="251669504" behindDoc="1" locked="0" layoutInCell="1" allowOverlap="1" wp14:anchorId="096DCA28" wp14:editId="4B1E690A">
            <wp:simplePos x="0" y="0"/>
            <wp:positionH relativeFrom="margin">
              <wp:posOffset>3086100</wp:posOffset>
            </wp:positionH>
            <wp:positionV relativeFrom="paragraph">
              <wp:posOffset>-1449705</wp:posOffset>
            </wp:positionV>
            <wp:extent cx="1661795" cy="1675765"/>
            <wp:effectExtent l="0" t="0" r="0" b="635"/>
            <wp:wrapTight wrapText="bothSides">
              <wp:wrapPolygon edited="0">
                <wp:start x="0" y="0"/>
                <wp:lineTo x="0" y="21363"/>
                <wp:lineTo x="21295" y="21363"/>
                <wp:lineTo x="21295" y="0"/>
                <wp:lineTo x="0" y="0"/>
              </wp:wrapPolygon>
            </wp:wrapTight>
            <wp:docPr id="1" name="Picture 1" descr="Image result for american society for testing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society for testing and materials"/>
                    <pic:cNvPicPr>
                      <a:picLocks noChangeAspect="1" noChangeArrowheads="1"/>
                    </pic:cNvPicPr>
                  </pic:nvPicPr>
                  <pic:blipFill>
                    <a:blip r:embed="rId273" cstate="screen">
                      <a:extLst>
                        <a:ext uri="{28A0092B-C50C-407E-A947-70E740481C1C}">
                          <a14:useLocalDpi xmlns:a14="http://schemas.microsoft.com/office/drawing/2010/main"/>
                        </a:ext>
                      </a:extLst>
                    </a:blip>
                    <a:srcRect/>
                    <a:stretch>
                      <a:fillRect/>
                    </a:stretch>
                  </pic:blipFill>
                  <pic:spPr bwMode="auto">
                    <a:xfrm>
                      <a:off x="0" y="0"/>
                      <a:ext cx="166179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0DE1B" w14:textId="77777777" w:rsidR="00D95621" w:rsidRDefault="00D95621" w:rsidP="00ED6BE0">
      <w:pPr>
        <w:shd w:val="clear" w:color="auto" w:fill="FFFFFF"/>
        <w:rPr>
          <w:rFonts w:ascii="Californian FB" w:eastAsia="Times New Roman" w:hAnsi="Californian FB" w:cstheme="minorHAnsi"/>
          <w:b/>
          <w:sz w:val="28"/>
          <w:szCs w:val="28"/>
        </w:rPr>
      </w:pPr>
    </w:p>
    <w:p w14:paraId="607EFD6B" w14:textId="7B09C398" w:rsidR="00D95621" w:rsidRDefault="00D95621" w:rsidP="00D95621">
      <w:pPr>
        <w:rPr>
          <w:rFonts w:ascii="Californian FB" w:hAnsi="Californian FB"/>
          <w:sz w:val="28"/>
          <w:szCs w:val="28"/>
        </w:rPr>
      </w:pPr>
      <w:r>
        <w:rPr>
          <w:rFonts w:ascii="Californian FB" w:hAnsi="Californian FB"/>
          <w:sz w:val="28"/>
          <w:szCs w:val="28"/>
        </w:rPr>
        <w:t>p. 648 – Replace the existing note 4, and the material in the breakout box on state and federal immunity, with the following:</w:t>
      </w:r>
    </w:p>
    <w:p w14:paraId="5C26C347" w14:textId="3230C60B" w:rsidR="00D95621" w:rsidRDefault="00D95621" w:rsidP="00EB5B45">
      <w:pPr>
        <w:autoSpaceDE w:val="0"/>
        <w:autoSpaceDN w:val="0"/>
        <w:adjustRightInd w:val="0"/>
        <w:spacing w:after="0" w:line="240" w:lineRule="auto"/>
        <w:ind w:left="360" w:hanging="360"/>
        <w:jc w:val="both"/>
        <w:rPr>
          <w:rFonts w:ascii="Californian FB" w:eastAsia="Times New Roman" w:hAnsi="Californian FB" w:cstheme="minorHAnsi"/>
          <w:b/>
          <w:sz w:val="28"/>
          <w:szCs w:val="28"/>
        </w:rPr>
      </w:pPr>
      <w:r w:rsidRPr="00D95621">
        <w:rPr>
          <w:rFonts w:ascii="Californian FB" w:hAnsi="Californian FB" w:cs="BerkeleyStd-Bold"/>
          <w:b/>
          <w:bCs/>
          <w:sz w:val="24"/>
          <w:szCs w:val="24"/>
        </w:rPr>
        <w:t>4.  State Liability for Infringement</w:t>
      </w:r>
      <w:r>
        <w:rPr>
          <w:rFonts w:ascii="Californian FB" w:hAnsi="Californian FB" w:cs="BerkeleyStd-Bold"/>
          <w:b/>
          <w:bCs/>
          <w:sz w:val="24"/>
          <w:szCs w:val="24"/>
        </w:rPr>
        <w:t xml:space="preserve"> and Sovereign Immunity</w:t>
      </w:r>
      <w:r w:rsidRPr="00D95621">
        <w:rPr>
          <w:rFonts w:ascii="Californian FB" w:hAnsi="Californian FB" w:cs="BerkeleyStd-Bold"/>
          <w:b/>
          <w:bCs/>
          <w:sz w:val="24"/>
          <w:szCs w:val="24"/>
        </w:rPr>
        <w:t xml:space="preserve">. </w:t>
      </w:r>
      <w:r w:rsidRPr="00D95621">
        <w:rPr>
          <w:rFonts w:ascii="Californian FB" w:hAnsi="Californian FB" w:cs="BerkeleyStd-Book"/>
          <w:sz w:val="24"/>
          <w:szCs w:val="24"/>
        </w:rPr>
        <w:t xml:space="preserve">In the absence of permission or </w:t>
      </w:r>
      <w:r>
        <w:rPr>
          <w:rFonts w:ascii="Californian FB" w:hAnsi="Californian FB" w:cs="BerkeleyStd-Book"/>
          <w:sz w:val="24"/>
          <w:szCs w:val="24"/>
        </w:rPr>
        <w:t xml:space="preserve">an exercise of </w:t>
      </w:r>
      <w:r w:rsidRPr="00D95621">
        <w:rPr>
          <w:rFonts w:ascii="Californian FB" w:hAnsi="Californian FB" w:cs="BerkeleyStd-Book"/>
          <w:sz w:val="24"/>
          <w:szCs w:val="24"/>
        </w:rPr>
        <w:t>eminent domain, a first reading of the statue suggests that the state would be liable for infringement if it copied privately authored material. Section 501(a) of the Copyright Act provides that “anyone” who violates one of the exclusive rights of copyright is an infringer. In 1990, Congress amended § 501(a) to make clear that “anyone” includes “any State, any instrumentality of a State, and any officer or employee of a State or instrumentality of a State acting in his or her official capacity,” and to specifically provide that “[a]</w:t>
      </w:r>
      <w:proofErr w:type="spellStart"/>
      <w:r w:rsidRPr="00D95621">
        <w:rPr>
          <w:rFonts w:ascii="Californian FB" w:hAnsi="Californian FB" w:cs="BerkeleyStd-Book"/>
          <w:sz w:val="24"/>
          <w:szCs w:val="24"/>
        </w:rPr>
        <w:t>ny</w:t>
      </w:r>
      <w:proofErr w:type="spellEnd"/>
      <w:r w:rsidRPr="00D95621">
        <w:rPr>
          <w:rFonts w:ascii="Californian FB" w:hAnsi="Californian FB" w:cs="BerkeleyStd-Book"/>
          <w:sz w:val="24"/>
          <w:szCs w:val="24"/>
        </w:rPr>
        <w:t xml:space="preserve"> State, and any such instrumentality, officer, or employee, shall be subject to the provisions of this title in the same manner and to the same extent as any nongovernmental entity.” Thus, the Copyright Act makes clear the intention of Congress to make state governments liable for copyright infringement. However</w:t>
      </w:r>
      <w:r>
        <w:rPr>
          <w:rFonts w:ascii="Californian FB" w:hAnsi="Californian FB" w:cs="BerkeleyStd-Book"/>
          <w:sz w:val="24"/>
          <w:szCs w:val="24"/>
        </w:rPr>
        <w:t xml:space="preserve">, in </w:t>
      </w:r>
      <w:r w:rsidRPr="00F73987">
        <w:rPr>
          <w:rFonts w:ascii="Californian FB" w:hAnsi="Californian FB" w:cs="BerkeleyStd-Book"/>
          <w:i/>
          <w:iCs/>
          <w:sz w:val="24"/>
          <w:szCs w:val="24"/>
        </w:rPr>
        <w:t>Allen v. Cooper</w:t>
      </w:r>
      <w:r w:rsidRPr="00F73987">
        <w:rPr>
          <w:rFonts w:ascii="Californian FB" w:hAnsi="Californian FB" w:cs="BerkeleyStd-Book"/>
          <w:sz w:val="24"/>
          <w:szCs w:val="24"/>
        </w:rPr>
        <w:t>, 140 S.</w:t>
      </w:r>
      <w:r>
        <w:rPr>
          <w:rFonts w:ascii="Californian FB" w:hAnsi="Californian FB" w:cs="BerkeleyStd-Book"/>
          <w:sz w:val="24"/>
          <w:szCs w:val="24"/>
        </w:rPr>
        <w:t xml:space="preserve"> </w:t>
      </w:r>
      <w:r w:rsidRPr="00F73987">
        <w:rPr>
          <w:rFonts w:ascii="Californian FB" w:hAnsi="Californian FB" w:cs="BerkeleyStd-Book"/>
          <w:sz w:val="24"/>
          <w:szCs w:val="24"/>
        </w:rPr>
        <w:t>Ct. 994 (2020)</w:t>
      </w:r>
      <w:r>
        <w:rPr>
          <w:rFonts w:ascii="Californian FB" w:hAnsi="Californian FB" w:cs="BerkeleyStd-Book"/>
          <w:sz w:val="24"/>
          <w:szCs w:val="24"/>
        </w:rPr>
        <w:t xml:space="preserve">, the Court held that </w:t>
      </w:r>
      <w:r w:rsidR="00EB5B45">
        <w:rPr>
          <w:rFonts w:ascii="Californian FB" w:hAnsi="Californian FB" w:cs="BerkeleyStd-Book"/>
          <w:sz w:val="24"/>
          <w:szCs w:val="24"/>
        </w:rPr>
        <w:t xml:space="preserve">states could claim immunity against copyright infringement damages judgments under the Eleventh Amendment, and that </w:t>
      </w:r>
      <w:r>
        <w:rPr>
          <w:rFonts w:ascii="Californian FB" w:hAnsi="Californian FB" w:cs="BerkeleyStd-Book"/>
          <w:sz w:val="24"/>
          <w:szCs w:val="24"/>
        </w:rPr>
        <w:t xml:space="preserve">Congress’s attempt to make states liable </w:t>
      </w:r>
      <w:r w:rsidR="00EB5B45">
        <w:rPr>
          <w:rFonts w:ascii="Californian FB" w:hAnsi="Californian FB" w:cs="BerkeleyStd-Book"/>
          <w:sz w:val="24"/>
          <w:szCs w:val="24"/>
        </w:rPr>
        <w:t xml:space="preserve">for those judgments was not a valid exercise of any of its powers. For more on </w:t>
      </w:r>
      <w:r w:rsidR="00EB5B45">
        <w:rPr>
          <w:rFonts w:ascii="Californian FB" w:hAnsi="Californian FB" w:cs="BerkeleyStd-Book"/>
          <w:i/>
          <w:iCs/>
          <w:sz w:val="24"/>
          <w:szCs w:val="24"/>
        </w:rPr>
        <w:t xml:space="preserve">Allen v. Cooper </w:t>
      </w:r>
      <w:r w:rsidR="00EB5B45">
        <w:rPr>
          <w:rFonts w:ascii="Californian FB" w:hAnsi="Californian FB" w:cs="BerkeleyStd-Book"/>
          <w:sz w:val="24"/>
          <w:szCs w:val="24"/>
        </w:rPr>
        <w:t>and on state and federal immunity in conjunction with copyright infringement claims, see the revised note on “State and Federal Immunity” that is now an insert in this supplement to Chapter 13, at p.1016, below.</w:t>
      </w:r>
    </w:p>
    <w:p w14:paraId="6695C605" w14:textId="77777777" w:rsidR="00D95621" w:rsidRDefault="00D95621" w:rsidP="00ED6BE0">
      <w:pPr>
        <w:shd w:val="clear" w:color="auto" w:fill="FFFFFF"/>
        <w:rPr>
          <w:rFonts w:ascii="Californian FB" w:eastAsia="Times New Roman" w:hAnsi="Californian FB" w:cstheme="minorHAnsi"/>
          <w:b/>
          <w:sz w:val="28"/>
          <w:szCs w:val="28"/>
        </w:rPr>
      </w:pPr>
    </w:p>
    <w:p w14:paraId="34B90879" w14:textId="72256C7A" w:rsidR="00E400EB" w:rsidRDefault="00F8687D" w:rsidP="00ED6BE0">
      <w:pPr>
        <w:shd w:val="clear" w:color="auto" w:fill="FFFFFF"/>
        <w:rPr>
          <w:rFonts w:ascii="Californian FB" w:eastAsia="Times New Roman" w:hAnsi="Californian FB" w:cstheme="minorHAnsi"/>
          <w:b/>
          <w:i/>
          <w:iCs/>
          <w:sz w:val="28"/>
          <w:szCs w:val="28"/>
        </w:rPr>
      </w:pPr>
      <w:r>
        <w:rPr>
          <w:rFonts w:ascii="Californian FB" w:eastAsia="Times New Roman" w:hAnsi="Californian FB" w:cstheme="minorHAnsi"/>
          <w:b/>
          <w:sz w:val="28"/>
          <w:szCs w:val="28"/>
        </w:rPr>
        <w:t xml:space="preserve">Chapter 9: </w:t>
      </w:r>
      <w:r>
        <w:rPr>
          <w:rFonts w:ascii="Californian FB" w:eastAsia="Times New Roman" w:hAnsi="Californian FB" w:cstheme="minorHAnsi"/>
          <w:b/>
          <w:i/>
          <w:iCs/>
          <w:sz w:val="28"/>
          <w:szCs w:val="28"/>
        </w:rPr>
        <w:t>Transactions</w:t>
      </w:r>
    </w:p>
    <w:p w14:paraId="3C77E627" w14:textId="38EE05E8" w:rsidR="00643152" w:rsidRPr="00643152" w:rsidRDefault="00F8687D" w:rsidP="00643152">
      <w:pPr>
        <w:rPr>
          <w:rFonts w:ascii="Californian FB" w:hAnsi="Californian FB"/>
          <w:b/>
          <w:sz w:val="28"/>
          <w:szCs w:val="28"/>
        </w:rPr>
      </w:pPr>
      <w:r>
        <w:rPr>
          <w:rFonts w:ascii="Californian FB" w:eastAsia="Times New Roman" w:hAnsi="Californian FB" w:cstheme="minorHAnsi"/>
          <w:b/>
          <w:sz w:val="28"/>
          <w:szCs w:val="28"/>
        </w:rPr>
        <w:t xml:space="preserve">C. </w:t>
      </w:r>
      <w:r w:rsidRPr="00643152">
        <w:rPr>
          <w:rFonts w:ascii="Californian FB" w:eastAsia="Times New Roman" w:hAnsi="Californian FB" w:cstheme="minorHAnsi"/>
          <w:b/>
          <w:sz w:val="28"/>
          <w:szCs w:val="28"/>
        </w:rPr>
        <w:t xml:space="preserve">Transfer </w:t>
      </w:r>
      <w:r w:rsidR="00643152" w:rsidRPr="00643152">
        <w:rPr>
          <w:rFonts w:ascii="Californian FB" w:hAnsi="Californian FB"/>
          <w:b/>
          <w:sz w:val="28"/>
          <w:szCs w:val="28"/>
        </w:rPr>
        <w:t>Formalities, Revocability, and Transferability Under the 1976 Act</w:t>
      </w:r>
    </w:p>
    <w:p w14:paraId="351B43AA" w14:textId="2D2C9494" w:rsidR="001017B1" w:rsidRPr="001017B1" w:rsidRDefault="001017B1" w:rsidP="001017B1">
      <w:pPr>
        <w:rPr>
          <w:rFonts w:ascii="Californian FB" w:hAnsi="Californian FB"/>
          <w:sz w:val="24"/>
          <w:szCs w:val="24"/>
        </w:rPr>
      </w:pPr>
      <w:r w:rsidRPr="001017B1">
        <w:rPr>
          <w:rFonts w:ascii="Californian FB" w:hAnsi="Californian FB"/>
          <w:sz w:val="24"/>
          <w:szCs w:val="24"/>
        </w:rPr>
        <w:t>Page 669 — Insert the following as a new note after Note 1:</w:t>
      </w:r>
    </w:p>
    <w:p w14:paraId="18E5B531" w14:textId="20ABCB50" w:rsidR="004F2FAB" w:rsidRDefault="004F2FAB" w:rsidP="004F2FAB">
      <w:pPr>
        <w:ind w:left="360" w:hanging="360"/>
        <w:jc w:val="both"/>
        <w:rPr>
          <w:rFonts w:ascii="Californian FB" w:hAnsi="Californian FB"/>
          <w:sz w:val="24"/>
          <w:szCs w:val="24"/>
        </w:rPr>
      </w:pPr>
      <w:r w:rsidRPr="007C3CE4">
        <w:rPr>
          <w:rFonts w:ascii="Century Schoolbook" w:hAnsi="Century Schoolbook"/>
          <w:noProof/>
        </w:rPr>
        <w:lastRenderedPageBreak/>
        <w:drawing>
          <wp:anchor distT="0" distB="0" distL="114300" distR="114300" simplePos="0" relativeHeight="251700224" behindDoc="0" locked="0" layoutInCell="1" allowOverlap="1" wp14:anchorId="6B658B3C" wp14:editId="79C1C592">
            <wp:simplePos x="0" y="0"/>
            <wp:positionH relativeFrom="column">
              <wp:posOffset>1976120</wp:posOffset>
            </wp:positionH>
            <wp:positionV relativeFrom="page">
              <wp:posOffset>3524250</wp:posOffset>
            </wp:positionV>
            <wp:extent cx="3976370" cy="3091180"/>
            <wp:effectExtent l="0" t="0" r="508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4" cstate="screen">
                      <a:extLst>
                        <a:ext uri="{28A0092B-C50C-407E-A947-70E740481C1C}">
                          <a14:useLocalDpi xmlns:a14="http://schemas.microsoft.com/office/drawing/2010/main"/>
                        </a:ext>
                      </a:extLst>
                    </a:blip>
                    <a:stretch>
                      <a:fillRect/>
                    </a:stretch>
                  </pic:blipFill>
                  <pic:spPr>
                    <a:xfrm>
                      <a:off x="0" y="0"/>
                      <a:ext cx="3976370" cy="3091180"/>
                    </a:xfrm>
                    <a:prstGeom prst="rect">
                      <a:avLst/>
                    </a:prstGeom>
                  </pic:spPr>
                </pic:pic>
              </a:graphicData>
            </a:graphic>
            <wp14:sizeRelH relativeFrom="margin">
              <wp14:pctWidth>0</wp14:pctWidth>
            </wp14:sizeRelH>
            <wp14:sizeRelV relativeFrom="margin">
              <wp14:pctHeight>0</wp14:pctHeight>
            </wp14:sizeRelV>
          </wp:anchor>
        </w:drawing>
      </w:r>
      <w:r w:rsidR="001017B1" w:rsidRPr="001017B1">
        <w:rPr>
          <w:rFonts w:ascii="Californian FB" w:hAnsi="Californian FB"/>
          <w:b/>
          <w:sz w:val="24"/>
          <w:szCs w:val="24"/>
        </w:rPr>
        <w:t xml:space="preserve">1A.   Implied Licenses and Tattoos.  </w:t>
      </w:r>
      <w:r w:rsidR="001017B1" w:rsidRPr="001017B1">
        <w:rPr>
          <w:rFonts w:ascii="Californian FB" w:hAnsi="Californian FB"/>
          <w:sz w:val="24"/>
          <w:szCs w:val="24"/>
        </w:rPr>
        <w:t>Imagine, as surely must be the case for some of our readers, that you have been inked.  If you got your tattoo(s) before taking a copyright course it is highly unlikely you thought to get a</w:t>
      </w:r>
      <w:r w:rsidR="001017B1">
        <w:rPr>
          <w:rFonts w:ascii="Californian FB" w:hAnsi="Californian FB"/>
          <w:sz w:val="24"/>
          <w:szCs w:val="24"/>
        </w:rPr>
        <w:t>n</w:t>
      </w:r>
      <w:r w:rsidR="001017B1" w:rsidRPr="001017B1">
        <w:rPr>
          <w:rFonts w:ascii="Californian FB" w:hAnsi="Californian FB"/>
          <w:sz w:val="24"/>
          <w:szCs w:val="24"/>
        </w:rPr>
        <w:t xml:space="preserve"> assignment of the copyright in that tattoo from the artist who created it.  Every time you take a selfie, however, you are making a copy of the work that adorns your body, and doing so without a license.  Of course</w:t>
      </w:r>
      <w:r w:rsidR="00A83A6E">
        <w:rPr>
          <w:rFonts w:ascii="Californian FB" w:hAnsi="Californian FB"/>
          <w:sz w:val="24"/>
          <w:szCs w:val="24"/>
        </w:rPr>
        <w:t>,</w:t>
      </w:r>
      <w:r w:rsidR="001017B1" w:rsidRPr="001017B1">
        <w:rPr>
          <w:rFonts w:ascii="Californian FB" w:hAnsi="Californian FB"/>
          <w:sz w:val="24"/>
          <w:szCs w:val="24"/>
        </w:rPr>
        <w:t xml:space="preserve"> your selfies</w:t>
      </w:r>
      <w:r w:rsidR="00A83A6E">
        <w:rPr>
          <w:rFonts w:ascii="Californian FB" w:hAnsi="Californian FB"/>
          <w:sz w:val="24"/>
          <w:szCs w:val="24"/>
        </w:rPr>
        <w:t>, saved in your digital photo album or sent to a few friends,</w:t>
      </w:r>
      <w:r w:rsidR="001017B1" w:rsidRPr="001017B1">
        <w:rPr>
          <w:rFonts w:ascii="Californian FB" w:hAnsi="Californian FB"/>
          <w:sz w:val="24"/>
          <w:szCs w:val="24"/>
        </w:rPr>
        <w:t xml:space="preserve"> would almost certainly be fair use.  But what if you were a famous athlete, say an NBA star, and </w:t>
      </w:r>
      <w:r w:rsidR="00A83A6E">
        <w:rPr>
          <w:rFonts w:ascii="Californian FB" w:hAnsi="Californian FB"/>
          <w:sz w:val="24"/>
          <w:szCs w:val="24"/>
        </w:rPr>
        <w:t xml:space="preserve">you </w:t>
      </w:r>
      <w:r w:rsidR="001017B1" w:rsidRPr="001017B1">
        <w:rPr>
          <w:rFonts w:ascii="Californian FB" w:hAnsi="Californian FB"/>
          <w:sz w:val="24"/>
          <w:szCs w:val="24"/>
        </w:rPr>
        <w:t xml:space="preserve">had licensed your image to a video game company, which replicated you in their game?  That was the situation in </w:t>
      </w:r>
      <w:r w:rsidR="001017B1" w:rsidRPr="001017B1">
        <w:rPr>
          <w:rFonts w:ascii="Californian FB" w:hAnsi="Californian FB"/>
          <w:i/>
          <w:sz w:val="24"/>
          <w:szCs w:val="24"/>
        </w:rPr>
        <w:t xml:space="preserve">Solid Oak Sketches, LLC v. 2K Games, Inc., </w:t>
      </w:r>
      <w:r w:rsidR="001017B1" w:rsidRPr="001017B1">
        <w:rPr>
          <w:rFonts w:ascii="Californian FB" w:hAnsi="Californian FB"/>
          <w:sz w:val="24"/>
          <w:szCs w:val="24"/>
        </w:rPr>
        <w:t>2020 WL 1467394 (S.D.N.Y. 2020).  The plaintiff in that case was not the actual tattoo artist, but an exclusive licensee who held rights to exploit the tattoo</w:t>
      </w:r>
      <w:r w:rsidR="00A83A6E">
        <w:rPr>
          <w:rFonts w:ascii="Californian FB" w:hAnsi="Californian FB"/>
          <w:sz w:val="24"/>
          <w:szCs w:val="24"/>
        </w:rPr>
        <w:t xml:space="preserve"> design</w:t>
      </w:r>
      <w:r w:rsidR="001017B1" w:rsidRPr="001017B1">
        <w:rPr>
          <w:rFonts w:ascii="Californian FB" w:hAnsi="Californian FB"/>
          <w:sz w:val="24"/>
          <w:szCs w:val="24"/>
        </w:rPr>
        <w:t xml:space="preserve"> in various ways excluding, however, applying the designs to a person’s skin.  Defendant had depicted </w:t>
      </w:r>
      <w:r w:rsidR="00A83A6E">
        <w:rPr>
          <w:rFonts w:ascii="Californian FB" w:hAnsi="Californian FB"/>
          <w:sz w:val="24"/>
          <w:szCs w:val="24"/>
        </w:rPr>
        <w:t xml:space="preserve">NBA stars </w:t>
      </w:r>
      <w:r w:rsidR="001017B1" w:rsidRPr="001017B1">
        <w:rPr>
          <w:rFonts w:ascii="Californian FB" w:hAnsi="Californian FB"/>
          <w:sz w:val="24"/>
          <w:szCs w:val="24"/>
        </w:rPr>
        <w:t>LeBron James, Eric B</w:t>
      </w:r>
      <w:r w:rsidR="00A83A6E">
        <w:rPr>
          <w:rFonts w:ascii="Californian FB" w:hAnsi="Californian FB"/>
          <w:sz w:val="24"/>
          <w:szCs w:val="24"/>
        </w:rPr>
        <w:t>le</w:t>
      </w:r>
      <w:r w:rsidR="001017B1" w:rsidRPr="001017B1">
        <w:rPr>
          <w:rFonts w:ascii="Californian FB" w:hAnsi="Californian FB"/>
          <w:sz w:val="24"/>
          <w:szCs w:val="24"/>
        </w:rPr>
        <w:t xml:space="preserve">dsoe and Kenyon Martin—tattoos and all—in its games, though the evidence revealed that the tattoos were usually only visible occasionally, usually out of focus, and not the </w:t>
      </w:r>
      <w:r w:rsidR="009138F6">
        <w:rPr>
          <w:rFonts w:ascii="Californian FB" w:hAnsi="Californian FB"/>
          <w:sz w:val="24"/>
          <w:szCs w:val="24"/>
        </w:rPr>
        <w:t>center</w:t>
      </w:r>
      <w:r w:rsidR="001017B1" w:rsidRPr="001017B1">
        <w:rPr>
          <w:rFonts w:ascii="Californian FB" w:hAnsi="Californian FB"/>
          <w:sz w:val="24"/>
          <w:szCs w:val="24"/>
        </w:rPr>
        <w:t xml:space="preserve"> of attention.  The court held that the use of the tattoos was non-infringing because the copying was de minimis, a ruling reminiscent of the </w:t>
      </w:r>
      <w:r w:rsidR="001017B1" w:rsidRPr="001017B1">
        <w:rPr>
          <w:rFonts w:ascii="Californian FB" w:hAnsi="Californian FB"/>
          <w:i/>
          <w:sz w:val="24"/>
          <w:szCs w:val="24"/>
        </w:rPr>
        <w:t>Gottli</w:t>
      </w:r>
      <w:r w:rsidR="00A83A6E">
        <w:rPr>
          <w:rFonts w:ascii="Californian FB" w:hAnsi="Californian FB"/>
          <w:i/>
          <w:sz w:val="24"/>
          <w:szCs w:val="24"/>
        </w:rPr>
        <w:t>e</w:t>
      </w:r>
      <w:r w:rsidR="001017B1" w:rsidRPr="001017B1">
        <w:rPr>
          <w:rFonts w:ascii="Californian FB" w:hAnsi="Californian FB"/>
          <w:i/>
          <w:sz w:val="24"/>
          <w:szCs w:val="24"/>
        </w:rPr>
        <w:t>b</w:t>
      </w:r>
      <w:r w:rsidR="001017B1" w:rsidRPr="001017B1">
        <w:rPr>
          <w:rFonts w:ascii="Californian FB" w:hAnsi="Californian FB"/>
          <w:sz w:val="24"/>
          <w:szCs w:val="24"/>
        </w:rPr>
        <w:t xml:space="preserve"> decision that appears on page 258 of the main volume.</w:t>
      </w:r>
    </w:p>
    <w:p w14:paraId="546739E5" w14:textId="0FF1DC2D" w:rsidR="001017B1" w:rsidRPr="001017B1" w:rsidRDefault="001017B1" w:rsidP="004F2FAB">
      <w:pPr>
        <w:ind w:left="360"/>
        <w:jc w:val="both"/>
        <w:rPr>
          <w:rFonts w:ascii="Californian FB" w:hAnsi="Californian FB"/>
          <w:sz w:val="24"/>
          <w:szCs w:val="24"/>
        </w:rPr>
      </w:pPr>
      <w:r w:rsidRPr="001017B1">
        <w:rPr>
          <w:rFonts w:ascii="Californian FB" w:hAnsi="Californian FB"/>
          <w:sz w:val="24"/>
          <w:szCs w:val="24"/>
        </w:rPr>
        <w:t>Of more interest in the present context was the court’s further holding that “the tattooists necessarily granted the Players nonexclusive licenses to use the Tattoos as part of their likenesses</w:t>
      </w:r>
      <w:proofErr w:type="gramStart"/>
      <w:r w:rsidRPr="001017B1">
        <w:rPr>
          <w:rFonts w:ascii="Californian FB" w:hAnsi="Californian FB"/>
          <w:sz w:val="24"/>
          <w:szCs w:val="24"/>
        </w:rPr>
        <w:t>. . . .</w:t>
      </w:r>
      <w:proofErr w:type="gramEnd"/>
      <w:r w:rsidRPr="001017B1">
        <w:rPr>
          <w:rFonts w:ascii="Californian FB" w:hAnsi="Californian FB"/>
          <w:sz w:val="24"/>
          <w:szCs w:val="24"/>
        </w:rPr>
        <w:t xml:space="preserve"> Therefore, Defendants had permission to include the Tattoos on the Players’ bodies in NBA 2K because the Players had an implied license to use the Tattoos as part of their likeness, and the Players either directly or indirectly granted Defendants a license to use their likenesses.”  If the tattoo artist had wanted to specifically reserve rights to benefit from any subsequent use of the tattoo in advertising, video games, or otherwise, would there be a way to do that?  If so, do you think it happens very often?</w:t>
      </w:r>
    </w:p>
    <w:p w14:paraId="0F7E4F53" w14:textId="77777777" w:rsidR="001C63A2" w:rsidRDefault="001C63A2" w:rsidP="009138F6">
      <w:pPr>
        <w:jc w:val="both"/>
        <w:rPr>
          <w:rFonts w:ascii="Californian FB" w:eastAsia="Times New Roman" w:hAnsi="Californian FB" w:cstheme="minorHAnsi"/>
          <w:bCs/>
          <w:sz w:val="28"/>
          <w:szCs w:val="28"/>
        </w:rPr>
      </w:pPr>
    </w:p>
    <w:p w14:paraId="0C507522" w14:textId="77777777" w:rsidR="001C63A2" w:rsidRDefault="001C63A2" w:rsidP="009138F6">
      <w:pPr>
        <w:jc w:val="both"/>
        <w:rPr>
          <w:rFonts w:ascii="Californian FB" w:eastAsia="Times New Roman" w:hAnsi="Californian FB" w:cstheme="minorHAnsi"/>
          <w:bCs/>
          <w:sz w:val="28"/>
          <w:szCs w:val="28"/>
        </w:rPr>
      </w:pPr>
    </w:p>
    <w:p w14:paraId="746B8EFE" w14:textId="77777777" w:rsidR="001C63A2" w:rsidRDefault="001C63A2" w:rsidP="009138F6">
      <w:pPr>
        <w:jc w:val="both"/>
        <w:rPr>
          <w:rFonts w:ascii="Californian FB" w:eastAsia="Times New Roman" w:hAnsi="Californian FB" w:cstheme="minorHAnsi"/>
          <w:bCs/>
          <w:sz w:val="28"/>
          <w:szCs w:val="28"/>
        </w:rPr>
      </w:pPr>
    </w:p>
    <w:p w14:paraId="4F88D3C7" w14:textId="77777777" w:rsidR="001C63A2" w:rsidRDefault="001C63A2" w:rsidP="009138F6">
      <w:pPr>
        <w:jc w:val="both"/>
        <w:rPr>
          <w:rFonts w:ascii="Californian FB" w:eastAsia="Times New Roman" w:hAnsi="Californian FB" w:cstheme="minorHAnsi"/>
          <w:bCs/>
          <w:sz w:val="28"/>
          <w:szCs w:val="28"/>
        </w:rPr>
      </w:pPr>
    </w:p>
    <w:p w14:paraId="0D3F95B2" w14:textId="5D598D26" w:rsidR="00A46189" w:rsidRDefault="009138F6" w:rsidP="009138F6">
      <w:pPr>
        <w:jc w:val="both"/>
        <w:rPr>
          <w:rFonts w:ascii="Californian FB" w:eastAsia="Times New Roman" w:hAnsi="Californian FB" w:cstheme="minorHAnsi"/>
          <w:bCs/>
          <w:sz w:val="28"/>
          <w:szCs w:val="28"/>
        </w:rPr>
      </w:pPr>
      <w:r w:rsidRPr="009138F6">
        <w:rPr>
          <w:rFonts w:ascii="Californian FB" w:eastAsia="Times New Roman" w:hAnsi="Californian FB" w:cstheme="minorHAnsi"/>
          <w:bCs/>
          <w:sz w:val="28"/>
          <w:szCs w:val="28"/>
        </w:rPr>
        <w:lastRenderedPageBreak/>
        <w:t xml:space="preserve">Page 670 – </w:t>
      </w:r>
      <w:r w:rsidRPr="009138F6">
        <w:rPr>
          <w:rFonts w:ascii="Californian FB" w:hAnsi="Californian FB"/>
          <w:sz w:val="28"/>
          <w:szCs w:val="28"/>
        </w:rPr>
        <w:t>Insert the following as a new paragraph at the end of Note 4</w:t>
      </w:r>
      <w:r w:rsidRPr="009138F6">
        <w:rPr>
          <w:rFonts w:ascii="Californian FB" w:eastAsia="Times New Roman" w:hAnsi="Californian FB" w:cstheme="minorHAnsi"/>
          <w:bCs/>
          <w:sz w:val="28"/>
          <w:szCs w:val="28"/>
        </w:rPr>
        <w:t>:</w:t>
      </w:r>
    </w:p>
    <w:p w14:paraId="5536809C" w14:textId="155257AC" w:rsidR="00A46189" w:rsidRDefault="00A46189" w:rsidP="009138F6">
      <w:pPr>
        <w:jc w:val="both"/>
        <w:rPr>
          <w:rFonts w:ascii="Californian FB" w:eastAsia="Times New Roman" w:hAnsi="Californian FB" w:cstheme="minorHAnsi"/>
          <w:bCs/>
          <w:sz w:val="28"/>
          <w:szCs w:val="28"/>
        </w:rPr>
      </w:pPr>
      <w:r w:rsidRPr="009138F6">
        <w:rPr>
          <w:rFonts w:ascii="Californian FB" w:hAnsi="Californian FB"/>
          <w:noProof/>
          <w:sz w:val="24"/>
          <w:szCs w:val="24"/>
        </w:rPr>
        <w:drawing>
          <wp:anchor distT="0" distB="0" distL="114300" distR="114300" simplePos="0" relativeHeight="251703296" behindDoc="0" locked="0" layoutInCell="1" allowOverlap="1" wp14:anchorId="76171C79" wp14:editId="3E67F0B3">
            <wp:simplePos x="0" y="0"/>
            <wp:positionH relativeFrom="column">
              <wp:posOffset>3240405</wp:posOffset>
            </wp:positionH>
            <wp:positionV relativeFrom="paragraph">
              <wp:posOffset>93980</wp:posOffset>
            </wp:positionV>
            <wp:extent cx="467995" cy="498475"/>
            <wp:effectExtent l="0" t="0" r="8255"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5" cstate="screen">
                      <a:extLst>
                        <a:ext uri="{28A0092B-C50C-407E-A947-70E740481C1C}">
                          <a14:useLocalDpi xmlns:a14="http://schemas.microsoft.com/office/drawing/2010/main"/>
                        </a:ext>
                      </a:extLst>
                    </a:blip>
                    <a:srcRect l="49125" t="60667" r="44575" b="27399"/>
                    <a:stretch/>
                  </pic:blipFill>
                  <pic:spPr>
                    <a:xfrm>
                      <a:off x="0" y="0"/>
                      <a:ext cx="467995" cy="498475"/>
                    </a:xfrm>
                    <a:prstGeom prst="rect">
                      <a:avLst/>
                    </a:prstGeom>
                  </pic:spPr>
                </pic:pic>
              </a:graphicData>
            </a:graphic>
            <wp14:sizeRelH relativeFrom="page">
              <wp14:pctWidth>0</wp14:pctWidth>
            </wp14:sizeRelH>
            <wp14:sizeRelV relativeFrom="page">
              <wp14:pctHeight>0</wp14:pctHeight>
            </wp14:sizeRelV>
          </wp:anchor>
        </w:drawing>
      </w:r>
      <w:r w:rsidRPr="009138F6">
        <w:rPr>
          <w:rFonts w:ascii="Californian FB" w:hAnsi="Californian FB"/>
          <w:noProof/>
          <w:sz w:val="24"/>
          <w:szCs w:val="24"/>
        </w:rPr>
        <mc:AlternateContent>
          <mc:Choice Requires="wps">
            <w:drawing>
              <wp:anchor distT="45720" distB="45720" distL="114300" distR="114300" simplePos="0" relativeHeight="251702272" behindDoc="0" locked="0" layoutInCell="1" allowOverlap="1" wp14:anchorId="3150EAF9" wp14:editId="51BEA8F8">
                <wp:simplePos x="0" y="0"/>
                <wp:positionH relativeFrom="column">
                  <wp:posOffset>3347720</wp:posOffset>
                </wp:positionH>
                <wp:positionV relativeFrom="paragraph">
                  <wp:posOffset>200025</wp:posOffset>
                </wp:positionV>
                <wp:extent cx="2571115" cy="3067050"/>
                <wp:effectExtent l="0" t="0" r="1968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3067050"/>
                        </a:xfrm>
                        <a:prstGeom prst="rect">
                          <a:avLst/>
                        </a:prstGeom>
                        <a:solidFill>
                          <a:schemeClr val="accent1">
                            <a:lumMod val="40000"/>
                            <a:lumOff val="60000"/>
                          </a:schemeClr>
                        </a:solidFill>
                        <a:ln w="9525">
                          <a:solidFill>
                            <a:srgbClr val="000000"/>
                          </a:solidFill>
                          <a:miter lim="800000"/>
                          <a:headEnd/>
                          <a:tailEnd/>
                        </a:ln>
                      </wps:spPr>
                      <wps:txbx>
                        <w:txbxContent>
                          <w:p w14:paraId="09C0F2B2" w14:textId="77777777" w:rsidR="00C747A6" w:rsidRDefault="00C747A6" w:rsidP="009138F6">
                            <w:pPr>
                              <w:rPr>
                                <w:rFonts w:ascii="Century Schoolbook" w:hAnsi="Century Schoolbook"/>
                                <w:b/>
                              </w:rPr>
                            </w:pPr>
                          </w:p>
                          <w:p w14:paraId="4A2B5454" w14:textId="77777777" w:rsidR="00C747A6" w:rsidRPr="00F42C3E" w:rsidRDefault="00C747A6" w:rsidP="009138F6">
                            <w:pPr>
                              <w:jc w:val="center"/>
                              <w:rPr>
                                <w:rFonts w:ascii="Century Schoolbook" w:hAnsi="Century Schoolbook"/>
                                <w:b/>
                              </w:rPr>
                            </w:pPr>
                            <w:r w:rsidRPr="00F42C3E">
                              <w:rPr>
                                <w:rFonts w:ascii="Century Schoolbook" w:hAnsi="Century Schoolbook"/>
                                <w:b/>
                              </w:rPr>
                              <w:t>MAKE THE CONNECTION</w:t>
                            </w:r>
                          </w:p>
                          <w:p w14:paraId="70AA3000" w14:textId="7E16CE58" w:rsidR="00C747A6" w:rsidRPr="005A4F87" w:rsidRDefault="00C747A6" w:rsidP="009138F6">
                            <w:pPr>
                              <w:jc w:val="both"/>
                              <w:rPr>
                                <w:rFonts w:ascii="Californian FB" w:hAnsi="Californian FB"/>
                                <w:sz w:val="20"/>
                                <w:szCs w:val="20"/>
                              </w:rPr>
                            </w:pPr>
                            <w:r w:rsidRPr="005A4F87">
                              <w:rPr>
                                <w:rFonts w:ascii="Californian FB" w:hAnsi="Californian FB"/>
                                <w:sz w:val="20"/>
                                <w:szCs w:val="20"/>
                              </w:rPr>
                              <w:t xml:space="preserve">As we noted in Chapter 8, a co-owner does not have the authority to grant an exclusive license, because that would effectively limit the other co-owners’ ability to exploit the copyright themselves.  An imperfect analogy to illustrate the point would be to imagine that one day while you were out your roommate granted a third party an exclusive sublease to your apartment.  That wouldn’t be very nice to you, would it? But it </w:t>
                            </w:r>
                            <w:r>
                              <w:rPr>
                                <w:rFonts w:ascii="Californian FB" w:hAnsi="Californian FB"/>
                                <w:sz w:val="20"/>
                                <w:szCs w:val="20"/>
                              </w:rPr>
                              <w:t xml:space="preserve">also </w:t>
                            </w:r>
                            <w:r w:rsidRPr="005A4F87">
                              <w:rPr>
                                <w:rFonts w:ascii="Californian FB" w:hAnsi="Californian FB"/>
                                <w:sz w:val="20"/>
                                <w:szCs w:val="20"/>
                              </w:rPr>
                              <w:t>wouldn’t be enforceable if both of your names were on the lease – a co-owner of an interest in land doesn’t have the power to execute a conveyance that would exclude the other co-owners, and copyright law borrows from that rule.</w:t>
                            </w:r>
                          </w:p>
                          <w:p w14:paraId="272869F5" w14:textId="77777777" w:rsidR="00C747A6" w:rsidRDefault="00C747A6" w:rsidP="00913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EAF9" id="_x0000_s1040" type="#_x0000_t202" style="position:absolute;left:0;text-align:left;margin-left:263.6pt;margin-top:15.75pt;width:202.45pt;height:24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" fillcolor="#bdd6ee [1300]">
                <v:textbox>
                  <w:txbxContent>
                    <w:p w14:paraId="09C0F2B2" w14:textId="77777777" w:rsidR="00C747A6" w:rsidRDefault="00C747A6" w:rsidP="009138F6">
                      <w:pPr>
                        <w:rPr>
                          <w:rFonts w:ascii="Century Schoolbook" w:hAnsi="Century Schoolbook"/>
                          <w:b/>
                        </w:rPr>
                      </w:pPr>
                    </w:p>
                    <w:p w14:paraId="4A2B5454" w14:textId="77777777" w:rsidR="00C747A6" w:rsidRPr="00F42C3E" w:rsidRDefault="00C747A6" w:rsidP="009138F6">
                      <w:pPr>
                        <w:jc w:val="center"/>
                        <w:rPr>
                          <w:rFonts w:ascii="Century Schoolbook" w:hAnsi="Century Schoolbook"/>
                          <w:b/>
                        </w:rPr>
                      </w:pPr>
                      <w:r w:rsidRPr="00F42C3E">
                        <w:rPr>
                          <w:rFonts w:ascii="Century Schoolbook" w:hAnsi="Century Schoolbook"/>
                          <w:b/>
                        </w:rPr>
                        <w:t>MAKE THE CONNECTION</w:t>
                      </w:r>
                    </w:p>
                    <w:p w14:paraId="70AA3000" w14:textId="7E16CE58" w:rsidR="00C747A6" w:rsidRPr="005A4F87" w:rsidRDefault="00C747A6" w:rsidP="009138F6">
                      <w:pPr>
                        <w:jc w:val="both"/>
                        <w:rPr>
                          <w:rFonts w:ascii="Californian FB" w:hAnsi="Californian FB"/>
                          <w:sz w:val="20"/>
                          <w:szCs w:val="20"/>
                        </w:rPr>
                      </w:pPr>
                      <w:r w:rsidRPr="005A4F87">
                        <w:rPr>
                          <w:rFonts w:ascii="Californian FB" w:hAnsi="Californian FB"/>
                          <w:sz w:val="20"/>
                          <w:szCs w:val="20"/>
                        </w:rPr>
                        <w:t xml:space="preserve">As we noted in Chapter 8, a co-owner does not have the authority to grant an exclusive license, because that would effectively limit the other co-owners’ ability to exploit the copyright themselves.  An imperfect analogy to illustrate the point would be to imagine that one day while you were out your roommate granted a third party an exclusive sublease to your apartment.  That wouldn’t be very nice to you, would it? But it </w:t>
                      </w:r>
                      <w:r>
                        <w:rPr>
                          <w:rFonts w:ascii="Californian FB" w:hAnsi="Californian FB"/>
                          <w:sz w:val="20"/>
                          <w:szCs w:val="20"/>
                        </w:rPr>
                        <w:t xml:space="preserve">also </w:t>
                      </w:r>
                      <w:r w:rsidRPr="005A4F87">
                        <w:rPr>
                          <w:rFonts w:ascii="Californian FB" w:hAnsi="Californian FB"/>
                          <w:sz w:val="20"/>
                          <w:szCs w:val="20"/>
                        </w:rPr>
                        <w:t>wouldn’t be enforceable if both of your names were on the lease – a co-owner of an interest in land doesn’t have the power to execute a conveyance that would exclude the other co-owners, and copyright law borrows from that rule.</w:t>
                      </w:r>
                    </w:p>
                    <w:p w14:paraId="272869F5" w14:textId="77777777" w:rsidR="00C747A6" w:rsidRDefault="00C747A6" w:rsidP="009138F6"/>
                  </w:txbxContent>
                </v:textbox>
                <w10:wrap type="square"/>
              </v:shape>
            </w:pict>
          </mc:Fallback>
        </mc:AlternateContent>
      </w:r>
    </w:p>
    <w:p w14:paraId="3F34A42D" w14:textId="5B5E8C3A" w:rsidR="009138F6" w:rsidRPr="009138F6" w:rsidRDefault="009138F6" w:rsidP="009138F6">
      <w:pPr>
        <w:jc w:val="both"/>
        <w:rPr>
          <w:rFonts w:ascii="Californian FB" w:hAnsi="Californian FB"/>
          <w:sz w:val="24"/>
          <w:szCs w:val="24"/>
        </w:rPr>
      </w:pPr>
      <w:r w:rsidRPr="009138F6">
        <w:rPr>
          <w:rFonts w:ascii="Californian FB" w:hAnsi="Californian FB"/>
          <w:sz w:val="24"/>
          <w:szCs w:val="24"/>
        </w:rPr>
        <w:t xml:space="preserve">To confer standing to sue however, the exclusive license must be valid.  One </w:t>
      </w:r>
      <w:r w:rsidR="005A4F87">
        <w:rPr>
          <w:rFonts w:ascii="Californian FB" w:hAnsi="Californian FB"/>
          <w:sz w:val="24"/>
          <w:szCs w:val="24"/>
        </w:rPr>
        <w:t xml:space="preserve">situation in which </w:t>
      </w:r>
      <w:r w:rsidRPr="009138F6">
        <w:rPr>
          <w:rFonts w:ascii="Californian FB" w:hAnsi="Californian FB"/>
          <w:sz w:val="24"/>
          <w:szCs w:val="24"/>
        </w:rPr>
        <w:t>the license might be invalid would be where the licensor did not own the entire copyright interest, but rather was merely one of several co-owners.  Th</w:t>
      </w:r>
      <w:r w:rsidR="005A4F87">
        <w:rPr>
          <w:rFonts w:ascii="Californian FB" w:hAnsi="Californian FB"/>
          <w:sz w:val="24"/>
          <w:szCs w:val="24"/>
        </w:rPr>
        <w:t>is</w:t>
      </w:r>
      <w:r w:rsidRPr="009138F6">
        <w:rPr>
          <w:rFonts w:ascii="Californian FB" w:hAnsi="Californian FB"/>
          <w:sz w:val="24"/>
          <w:szCs w:val="24"/>
        </w:rPr>
        <w:t xml:space="preserve"> issue proved fatal to the plaintiff in </w:t>
      </w:r>
      <w:proofErr w:type="spellStart"/>
      <w:r w:rsidRPr="009138F6">
        <w:rPr>
          <w:rFonts w:ascii="Californian FB" w:hAnsi="Californian FB"/>
          <w:i/>
          <w:sz w:val="24"/>
          <w:szCs w:val="24"/>
        </w:rPr>
        <w:t>Tresóna</w:t>
      </w:r>
      <w:proofErr w:type="spellEnd"/>
      <w:r w:rsidRPr="009138F6">
        <w:rPr>
          <w:rFonts w:ascii="Californian FB" w:hAnsi="Californian FB"/>
          <w:i/>
          <w:sz w:val="24"/>
          <w:szCs w:val="24"/>
        </w:rPr>
        <w:t xml:space="preserve"> v. Burbank High School Vocal Music Asso</w:t>
      </w:r>
      <w:r w:rsidR="005A4F87">
        <w:rPr>
          <w:rFonts w:ascii="Californian FB" w:hAnsi="Californian FB"/>
          <w:i/>
          <w:sz w:val="24"/>
          <w:szCs w:val="24"/>
        </w:rPr>
        <w:t>c</w:t>
      </w:r>
      <w:r w:rsidRPr="009138F6">
        <w:rPr>
          <w:rFonts w:ascii="Californian FB" w:hAnsi="Californian FB"/>
          <w:i/>
          <w:sz w:val="24"/>
          <w:szCs w:val="24"/>
        </w:rPr>
        <w:t>.</w:t>
      </w:r>
      <w:r w:rsidRPr="009138F6">
        <w:rPr>
          <w:rFonts w:ascii="Californian FB" w:hAnsi="Californian FB"/>
          <w:sz w:val="24"/>
          <w:szCs w:val="24"/>
        </w:rPr>
        <w:t>, 953 F.3d 638 (9th Cir. 2020)</w:t>
      </w:r>
      <w:r w:rsidR="005A4F87">
        <w:rPr>
          <w:rFonts w:ascii="Californian FB" w:hAnsi="Californian FB"/>
          <w:sz w:val="24"/>
          <w:szCs w:val="24"/>
        </w:rPr>
        <w:t>,</w:t>
      </w:r>
      <w:r w:rsidRPr="009138F6">
        <w:rPr>
          <w:rFonts w:ascii="Californian FB" w:hAnsi="Californian FB"/>
          <w:sz w:val="24"/>
          <w:szCs w:val="24"/>
        </w:rPr>
        <w:t xml:space="preserve"> where a music licensing organization attempted to sue for unauthorized performances of works by a High School show choir.  Tracing the chain of title of the plaintiff, the court determined that the licenses they held to several of the songs in questions had been granted by fewer than all the copyright owners, and that therefore they lacked standing to sue.  Other cases have come to the same conclusion.</w:t>
      </w:r>
    </w:p>
    <w:p w14:paraId="618B1807" w14:textId="77777777" w:rsidR="009138F6" w:rsidRPr="00702CD9" w:rsidRDefault="009138F6" w:rsidP="009138F6">
      <w:pPr>
        <w:rPr>
          <w:rFonts w:ascii="Century Schoolbook" w:hAnsi="Century Schoolbook"/>
        </w:rPr>
      </w:pPr>
    </w:p>
    <w:p w14:paraId="2127820A" w14:textId="77777777" w:rsidR="009D1095" w:rsidRDefault="009D1095" w:rsidP="00ED6BE0">
      <w:pPr>
        <w:shd w:val="clear" w:color="auto" w:fill="FFFFFF"/>
        <w:rPr>
          <w:rFonts w:ascii="Californian FB" w:eastAsia="Times New Roman" w:hAnsi="Californian FB" w:cstheme="minorHAnsi"/>
          <w:b/>
          <w:i/>
          <w:iCs/>
          <w:sz w:val="28"/>
          <w:szCs w:val="28"/>
        </w:rPr>
      </w:pPr>
      <w:r w:rsidRPr="00CA2EB3">
        <w:rPr>
          <w:rFonts w:ascii="Californian FB" w:eastAsia="Times New Roman" w:hAnsi="Californian FB" w:cstheme="minorHAnsi"/>
          <w:b/>
          <w:sz w:val="28"/>
          <w:szCs w:val="28"/>
        </w:rPr>
        <w:t>Chapter 1</w:t>
      </w:r>
      <w:r>
        <w:rPr>
          <w:rFonts w:ascii="Californian FB" w:eastAsia="Times New Roman" w:hAnsi="Californian FB" w:cstheme="minorHAnsi"/>
          <w:b/>
          <w:sz w:val="28"/>
          <w:szCs w:val="28"/>
        </w:rPr>
        <w:t>0</w:t>
      </w:r>
      <w:r w:rsidRPr="00CA2EB3">
        <w:rPr>
          <w:rFonts w:ascii="Californian FB" w:eastAsia="Times New Roman" w:hAnsi="Californian FB" w:cstheme="minorHAnsi"/>
          <w:b/>
          <w:sz w:val="28"/>
          <w:szCs w:val="28"/>
        </w:rPr>
        <w:t xml:space="preserve">: </w:t>
      </w:r>
      <w:r>
        <w:rPr>
          <w:rFonts w:ascii="Californian FB" w:eastAsia="Times New Roman" w:hAnsi="Californian FB" w:cstheme="minorHAnsi"/>
          <w:b/>
          <w:i/>
          <w:iCs/>
          <w:sz w:val="28"/>
          <w:szCs w:val="28"/>
        </w:rPr>
        <w:t>Copyright Duration and Related Limitations on Transfer</w:t>
      </w:r>
    </w:p>
    <w:p w14:paraId="3C1B1939" w14:textId="19EDEBFE" w:rsidR="009D1095" w:rsidRDefault="009D1095" w:rsidP="00ED6BE0">
      <w:pPr>
        <w:shd w:val="clear" w:color="auto" w:fill="FFFFFF"/>
        <w:rPr>
          <w:rFonts w:ascii="Californian FB" w:eastAsia="Times New Roman" w:hAnsi="Californian FB" w:cstheme="minorHAnsi"/>
          <w:b/>
          <w:sz w:val="28"/>
          <w:szCs w:val="28"/>
        </w:rPr>
      </w:pPr>
      <w:r>
        <w:rPr>
          <w:rFonts w:ascii="Californian FB" w:eastAsia="Times New Roman" w:hAnsi="Californian FB" w:cstheme="minorHAnsi"/>
          <w:b/>
          <w:sz w:val="28"/>
          <w:szCs w:val="28"/>
        </w:rPr>
        <w:t>B. Limitations on Transfer</w:t>
      </w:r>
    </w:p>
    <w:p w14:paraId="57832479" w14:textId="544939D2" w:rsidR="009D1095" w:rsidRDefault="009D1095" w:rsidP="00ED6BE0">
      <w:pPr>
        <w:shd w:val="clear" w:color="auto" w:fill="FFFFFF"/>
        <w:rPr>
          <w:rFonts w:ascii="Californian FB" w:eastAsia="Times New Roman" w:hAnsi="Californian FB" w:cstheme="minorHAnsi"/>
          <w:b/>
          <w:sz w:val="28"/>
          <w:szCs w:val="28"/>
        </w:rPr>
      </w:pPr>
      <w:r>
        <w:rPr>
          <w:rFonts w:ascii="Californian FB" w:eastAsia="Times New Roman" w:hAnsi="Californian FB" w:cstheme="minorHAnsi"/>
          <w:b/>
          <w:sz w:val="28"/>
          <w:szCs w:val="28"/>
        </w:rPr>
        <w:t>2. Terminations of Transfer</w:t>
      </w:r>
    </w:p>
    <w:p w14:paraId="183C0B40" w14:textId="371786C6" w:rsidR="009D1095" w:rsidRDefault="009D1095" w:rsidP="00ED6BE0">
      <w:pPr>
        <w:shd w:val="clear" w:color="auto" w:fill="FFFFFF"/>
        <w:rPr>
          <w:rFonts w:ascii="Californian FB" w:eastAsia="Times New Roman" w:hAnsi="Californian FB" w:cstheme="minorHAnsi"/>
          <w:b/>
          <w:sz w:val="28"/>
          <w:szCs w:val="28"/>
        </w:rPr>
      </w:pPr>
      <w:r>
        <w:rPr>
          <w:rFonts w:ascii="Californian FB" w:eastAsia="Times New Roman" w:hAnsi="Californian FB" w:cstheme="minorHAnsi"/>
          <w:b/>
          <w:sz w:val="28"/>
          <w:szCs w:val="28"/>
        </w:rPr>
        <w:t>a. “Extension-Windfall-Recovery” Terminations</w:t>
      </w:r>
    </w:p>
    <w:p w14:paraId="55D363EA" w14:textId="3AAA9896" w:rsidR="009D1095" w:rsidRDefault="009D1095" w:rsidP="00ED6BE0">
      <w:pPr>
        <w:shd w:val="clear" w:color="auto" w:fill="FFFFFF"/>
        <w:rPr>
          <w:rFonts w:ascii="Californian FB" w:eastAsia="Times New Roman" w:hAnsi="Californian FB" w:cstheme="minorHAnsi"/>
          <w:bCs/>
          <w:sz w:val="28"/>
          <w:szCs w:val="28"/>
        </w:rPr>
      </w:pPr>
      <w:r>
        <w:rPr>
          <w:rFonts w:ascii="Californian FB" w:eastAsia="Times New Roman" w:hAnsi="Californian FB" w:cstheme="minorHAnsi"/>
          <w:bCs/>
          <w:sz w:val="28"/>
          <w:szCs w:val="28"/>
        </w:rPr>
        <w:t>Page 767 – The last three lines of note 6 should read as follows:</w:t>
      </w:r>
    </w:p>
    <w:p w14:paraId="3DAC7328" w14:textId="588E5764" w:rsidR="009D1095" w:rsidRPr="00A038CB" w:rsidRDefault="00A038CB" w:rsidP="00A038CB">
      <w:pPr>
        <w:autoSpaceDE w:val="0"/>
        <w:autoSpaceDN w:val="0"/>
        <w:adjustRightInd w:val="0"/>
        <w:spacing w:after="0" w:line="240" w:lineRule="auto"/>
        <w:rPr>
          <w:rFonts w:ascii="Californian FB" w:eastAsia="Times New Roman" w:hAnsi="Californian FB" w:cstheme="minorHAnsi"/>
          <w:bCs/>
          <w:sz w:val="24"/>
          <w:szCs w:val="24"/>
        </w:rPr>
      </w:pPr>
      <w:r w:rsidRPr="00A038CB">
        <w:rPr>
          <w:rFonts w:ascii="Californian FB" w:hAnsi="Californian FB" w:cs="BerkeleyStd-Book"/>
          <w:sz w:val="24"/>
          <w:szCs w:val="24"/>
        </w:rPr>
        <w:t>and (2) the holder of the termination power is unable to bargain to remove the</w:t>
      </w:r>
      <w:r>
        <w:rPr>
          <w:rFonts w:ascii="Californian FB" w:hAnsi="Californian FB" w:cs="BerkeleyStd-Book"/>
          <w:sz w:val="24"/>
          <w:szCs w:val="24"/>
        </w:rPr>
        <w:t xml:space="preserve"> </w:t>
      </w:r>
      <w:r w:rsidRPr="00A038CB">
        <w:rPr>
          <w:rFonts w:ascii="Californian FB" w:hAnsi="Californian FB" w:cs="BerkeleyStd-Book"/>
          <w:sz w:val="24"/>
          <w:szCs w:val="24"/>
        </w:rPr>
        <w:t>uncertainty, because its only bargaining chip—the power to terminate—can</w:t>
      </w:r>
      <w:r>
        <w:rPr>
          <w:rFonts w:ascii="Californian FB" w:hAnsi="Californian FB" w:cs="BerkeleyStd-Book"/>
          <w:sz w:val="24"/>
          <w:szCs w:val="24"/>
        </w:rPr>
        <w:t>not</w:t>
      </w:r>
      <w:r w:rsidRPr="00A038CB">
        <w:rPr>
          <w:rFonts w:ascii="Californian FB" w:hAnsi="Californian FB" w:cs="BerkeleyStd-Book"/>
          <w:sz w:val="24"/>
          <w:szCs w:val="24"/>
        </w:rPr>
        <w:t xml:space="preserve"> </w:t>
      </w:r>
      <w:r>
        <w:rPr>
          <w:rFonts w:ascii="Californian FB" w:hAnsi="Californian FB" w:cs="BerkeleyStd-Book"/>
          <w:sz w:val="24"/>
          <w:szCs w:val="24"/>
        </w:rPr>
        <w:t xml:space="preserve">[“can” in the main volume] </w:t>
      </w:r>
      <w:r w:rsidRPr="00A038CB">
        <w:rPr>
          <w:rFonts w:ascii="Californian FB" w:hAnsi="Californian FB" w:cs="BerkeleyStd-Book"/>
          <w:sz w:val="24"/>
          <w:szCs w:val="24"/>
        </w:rPr>
        <w:t>be</w:t>
      </w:r>
      <w:r>
        <w:rPr>
          <w:rFonts w:ascii="Californian FB" w:hAnsi="Californian FB" w:cs="BerkeleyStd-Book"/>
          <w:sz w:val="24"/>
          <w:szCs w:val="24"/>
        </w:rPr>
        <w:t xml:space="preserve"> </w:t>
      </w:r>
      <w:r w:rsidRPr="00A038CB">
        <w:rPr>
          <w:rFonts w:ascii="Californian FB" w:hAnsi="Californian FB" w:cs="BerkeleyStd-Book"/>
          <w:sz w:val="24"/>
          <w:szCs w:val="24"/>
        </w:rPr>
        <w:t>effectively given away in return for a more lucrative deal.</w:t>
      </w:r>
    </w:p>
    <w:p w14:paraId="785E02D2" w14:textId="77777777" w:rsidR="009D1095" w:rsidRDefault="009D1095" w:rsidP="00ED6BE0">
      <w:pPr>
        <w:shd w:val="clear" w:color="auto" w:fill="FFFFFF"/>
        <w:rPr>
          <w:rFonts w:ascii="Californian FB" w:eastAsia="Times New Roman" w:hAnsi="Californian FB" w:cstheme="minorHAnsi"/>
          <w:b/>
          <w:i/>
          <w:iCs/>
          <w:sz w:val="28"/>
          <w:szCs w:val="28"/>
        </w:rPr>
      </w:pPr>
    </w:p>
    <w:p w14:paraId="4DECA247" w14:textId="76A378CB" w:rsidR="00CA2EB3" w:rsidRDefault="00CA2EB3" w:rsidP="00ED6BE0">
      <w:pPr>
        <w:shd w:val="clear" w:color="auto" w:fill="FFFFFF"/>
        <w:rPr>
          <w:rFonts w:ascii="Californian FB" w:eastAsia="Times New Roman" w:hAnsi="Californian FB" w:cstheme="minorHAnsi"/>
          <w:b/>
          <w:i/>
          <w:sz w:val="28"/>
          <w:szCs w:val="28"/>
        </w:rPr>
      </w:pPr>
      <w:r w:rsidRPr="00CA2EB3">
        <w:rPr>
          <w:rFonts w:ascii="Californian FB" w:eastAsia="Times New Roman" w:hAnsi="Californian FB" w:cstheme="minorHAnsi"/>
          <w:b/>
          <w:sz w:val="28"/>
          <w:szCs w:val="28"/>
        </w:rPr>
        <w:t xml:space="preserve">Chapter 11: </w:t>
      </w:r>
      <w:r w:rsidRPr="004637B6">
        <w:rPr>
          <w:rFonts w:ascii="Californian FB" w:eastAsia="Times New Roman" w:hAnsi="Californian FB" w:cstheme="minorHAnsi"/>
          <w:b/>
          <w:i/>
          <w:sz w:val="28"/>
          <w:szCs w:val="28"/>
        </w:rPr>
        <w:t>The Reproduction, Distribution, and Adaptation Rights, and the Visual Artists Rights Act</w:t>
      </w:r>
    </w:p>
    <w:p w14:paraId="08C769D6" w14:textId="392038E9" w:rsidR="00C55F08" w:rsidRDefault="00C55F08" w:rsidP="00ED6BE0">
      <w:pPr>
        <w:shd w:val="clear" w:color="auto" w:fill="FFFFFF"/>
        <w:rPr>
          <w:rFonts w:ascii="Californian FB" w:eastAsia="Times New Roman" w:hAnsi="Californian FB" w:cstheme="minorHAnsi"/>
          <w:b/>
          <w:sz w:val="28"/>
          <w:szCs w:val="28"/>
        </w:rPr>
      </w:pPr>
      <w:r w:rsidRPr="00C55F08">
        <w:rPr>
          <w:rFonts w:ascii="Californian FB" w:eastAsia="Times New Roman" w:hAnsi="Californian FB" w:cstheme="minorHAnsi"/>
          <w:b/>
          <w:sz w:val="28"/>
          <w:szCs w:val="28"/>
        </w:rPr>
        <w:t>B. The Right of Distribution to the Public</w:t>
      </w:r>
    </w:p>
    <w:p w14:paraId="7A9527F4" w14:textId="4B14F6E3" w:rsidR="00C55F08" w:rsidRDefault="00C55F08" w:rsidP="00ED6BE0">
      <w:pPr>
        <w:shd w:val="clear" w:color="auto" w:fill="FFFFFF"/>
        <w:rPr>
          <w:rFonts w:ascii="Californian FB" w:eastAsia="Times New Roman" w:hAnsi="Californian FB" w:cstheme="minorHAnsi"/>
          <w:b/>
          <w:sz w:val="28"/>
          <w:szCs w:val="28"/>
        </w:rPr>
      </w:pPr>
      <w:r w:rsidRPr="00C55F08">
        <w:rPr>
          <w:rFonts w:ascii="Californian FB" w:eastAsia="Times New Roman" w:hAnsi="Californian FB" w:cstheme="minorHAnsi"/>
          <w:b/>
          <w:sz w:val="28"/>
          <w:szCs w:val="28"/>
        </w:rPr>
        <w:t>1. The Meaning of “Distribution to the Public”</w:t>
      </w:r>
    </w:p>
    <w:p w14:paraId="2A89FF4C" w14:textId="1DA3E8F5" w:rsidR="00E400EB" w:rsidRPr="00E400EB" w:rsidRDefault="00E400EB" w:rsidP="00E400EB">
      <w:pPr>
        <w:rPr>
          <w:rFonts w:ascii="Californian FB" w:hAnsi="Californian FB"/>
          <w:sz w:val="28"/>
          <w:szCs w:val="28"/>
        </w:rPr>
      </w:pPr>
      <w:r w:rsidRPr="00E400EB">
        <w:rPr>
          <w:rFonts w:ascii="Californian FB" w:eastAsia="Times New Roman" w:hAnsi="Californian FB" w:cstheme="minorHAnsi"/>
          <w:sz w:val="28"/>
          <w:szCs w:val="28"/>
        </w:rPr>
        <w:t>P</w:t>
      </w:r>
      <w:r>
        <w:rPr>
          <w:rFonts w:ascii="Californian FB" w:eastAsia="Times New Roman" w:hAnsi="Californian FB" w:cstheme="minorHAnsi"/>
          <w:sz w:val="28"/>
          <w:szCs w:val="28"/>
        </w:rPr>
        <w:t>age</w:t>
      </w:r>
      <w:r w:rsidRPr="00E400EB">
        <w:rPr>
          <w:rFonts w:ascii="Californian FB" w:hAnsi="Californian FB"/>
          <w:sz w:val="28"/>
          <w:szCs w:val="28"/>
        </w:rPr>
        <w:t xml:space="preserve"> 812 – Insert the following in place of the third paragraph in Note 6</w:t>
      </w:r>
      <w:r>
        <w:rPr>
          <w:rFonts w:ascii="Californian FB" w:hAnsi="Californian FB"/>
          <w:sz w:val="28"/>
          <w:szCs w:val="28"/>
        </w:rPr>
        <w:t>:</w:t>
      </w:r>
    </w:p>
    <w:p w14:paraId="14A4CCCE" w14:textId="584F1782" w:rsidR="00E400EB" w:rsidRPr="00F3304E" w:rsidRDefault="00E400EB" w:rsidP="00E400EB">
      <w:pPr>
        <w:jc w:val="both"/>
        <w:rPr>
          <w:rFonts w:ascii="Californian FB" w:hAnsi="Californian FB"/>
          <w:sz w:val="24"/>
          <w:szCs w:val="24"/>
        </w:rPr>
      </w:pPr>
      <w:r w:rsidRPr="00F3304E">
        <w:rPr>
          <w:rFonts w:ascii="Californian FB" w:hAnsi="Californian FB"/>
          <w:sz w:val="24"/>
          <w:szCs w:val="24"/>
        </w:rPr>
        <w:t xml:space="preserve">Capitol Records sued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and secured a summary judgment ruling in its favor.  On appeal, the Second Circuit affirmed, </w:t>
      </w:r>
      <w:r w:rsidRPr="00F3304E">
        <w:rPr>
          <w:rFonts w:ascii="Californian FB" w:hAnsi="Californian FB"/>
          <w:i/>
          <w:sz w:val="24"/>
          <w:szCs w:val="24"/>
        </w:rPr>
        <w:t xml:space="preserve">Capitol Records, LLC v. </w:t>
      </w:r>
      <w:proofErr w:type="spellStart"/>
      <w:r w:rsidRPr="00F3304E">
        <w:rPr>
          <w:rFonts w:ascii="Californian FB" w:hAnsi="Californian FB"/>
          <w:i/>
          <w:sz w:val="24"/>
          <w:szCs w:val="24"/>
        </w:rPr>
        <w:t>ReDigi</w:t>
      </w:r>
      <w:proofErr w:type="spellEnd"/>
      <w:r w:rsidRPr="00F3304E">
        <w:rPr>
          <w:rFonts w:ascii="Californian FB" w:hAnsi="Californian FB"/>
          <w:i/>
          <w:sz w:val="24"/>
          <w:szCs w:val="24"/>
        </w:rPr>
        <w:t xml:space="preserve"> Inc.</w:t>
      </w:r>
      <w:r w:rsidRPr="00F3304E">
        <w:rPr>
          <w:rFonts w:ascii="Californian FB" w:hAnsi="Californian FB"/>
          <w:sz w:val="24"/>
          <w:szCs w:val="24"/>
        </w:rPr>
        <w:t>, 910 F.3d 649 (2</w:t>
      </w:r>
      <w:r w:rsidRPr="00F3304E">
        <w:rPr>
          <w:rFonts w:ascii="Californian FB" w:hAnsi="Californian FB"/>
          <w:sz w:val="24"/>
          <w:szCs w:val="24"/>
          <w:vertAlign w:val="superscript"/>
        </w:rPr>
        <w:t>nd</w:t>
      </w:r>
      <w:r w:rsidRPr="00F3304E">
        <w:rPr>
          <w:rFonts w:ascii="Californian FB" w:hAnsi="Californian FB"/>
          <w:sz w:val="24"/>
          <w:szCs w:val="24"/>
        </w:rPr>
        <w:t xml:space="preserve"> Cir. (N.Y.), 2018).  The </w:t>
      </w:r>
      <w:r w:rsidRPr="00F3304E">
        <w:rPr>
          <w:rFonts w:ascii="Californian FB" w:hAnsi="Californian FB"/>
          <w:sz w:val="24"/>
          <w:szCs w:val="24"/>
        </w:rPr>
        <w:lastRenderedPageBreak/>
        <w:t xml:space="preserve">district court had relied on two bases for its ruling.  First, it held that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process involves the making of a copy which violated the plaintiff’s reproductions right – a right which is not limited by the first-sale principle codified in § 109.  Second, it noted that because the copies being resold by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were not “lawfully made” as required by § 109, the first sale doctrine could not apply.  The court of appeals affirmed on the first ground finding it unnecessary to reach the second.  Judge </w:t>
      </w:r>
      <w:proofErr w:type="spellStart"/>
      <w:r w:rsidRPr="00F3304E">
        <w:rPr>
          <w:rFonts w:ascii="Californian FB" w:hAnsi="Californian FB"/>
          <w:sz w:val="24"/>
          <w:szCs w:val="24"/>
        </w:rPr>
        <w:t>Leval</w:t>
      </w:r>
      <w:proofErr w:type="spellEnd"/>
      <w:r w:rsidRPr="00F3304E">
        <w:rPr>
          <w:rFonts w:ascii="Californian FB" w:hAnsi="Californian FB"/>
          <w:sz w:val="24"/>
          <w:szCs w:val="24"/>
        </w:rPr>
        <w:t xml:space="preserve"> took a literal view of the concept of reproduction, explaining</w:t>
      </w:r>
      <w:r w:rsidR="00F3304E" w:rsidRPr="00F3304E">
        <w:rPr>
          <w:rFonts w:ascii="Californian FB" w:hAnsi="Californian FB"/>
          <w:sz w:val="24"/>
          <w:szCs w:val="24"/>
        </w:rPr>
        <w:t>:</w:t>
      </w:r>
    </w:p>
    <w:p w14:paraId="083106DD" w14:textId="77777777" w:rsidR="00E400EB" w:rsidRPr="00F3304E" w:rsidRDefault="00E400EB" w:rsidP="00E400EB">
      <w:pPr>
        <w:ind w:left="360" w:right="360"/>
        <w:jc w:val="both"/>
        <w:rPr>
          <w:rFonts w:ascii="Californian FB" w:hAnsi="Californian FB"/>
          <w:sz w:val="24"/>
          <w:szCs w:val="24"/>
        </w:rPr>
      </w:pPr>
      <w:r w:rsidRPr="00F3304E">
        <w:rPr>
          <w:rFonts w:ascii="Californian FB" w:hAnsi="Californian FB"/>
          <w:sz w:val="24"/>
          <w:szCs w:val="24"/>
        </w:rPr>
        <w:t xml:space="preserve">In the course of transferring a digital music file from an original purchaser’s computer, through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to a new purchaser, the digital file is first received and stored on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server and then, at the new purchaser’s option, may also be subsequently received and stored on the new purchaser’s device.  At each of these steps, the digital file is fixed in a new material object “for a period of more than transitory duration.” Cartoon Network, 536 F.3d at 127. The fixing of the digital file in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server, as well as in the new purchaser’s device, creates a new phonorecord, which is a reproduction.</w:t>
      </w:r>
    </w:p>
    <w:p w14:paraId="62C08200" w14:textId="77777777" w:rsidR="00E400EB" w:rsidRPr="00F3304E" w:rsidRDefault="00E400EB" w:rsidP="00F3304E">
      <w:pPr>
        <w:jc w:val="both"/>
        <w:rPr>
          <w:rFonts w:ascii="Californian FB" w:hAnsi="Californian FB"/>
          <w:sz w:val="24"/>
          <w:szCs w:val="24"/>
        </w:rPr>
      </w:pPr>
      <w:r w:rsidRPr="00F3304E">
        <w:rPr>
          <w:rFonts w:ascii="Californian FB" w:hAnsi="Californian FB"/>
          <w:sz w:val="24"/>
          <w:szCs w:val="24"/>
        </w:rPr>
        <w:t xml:space="preserve">The Second Circuit was not impressed by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efforts to </w:t>
      </w:r>
      <w:proofErr w:type="gramStart"/>
      <w:r w:rsidRPr="00F3304E">
        <w:rPr>
          <w:rFonts w:ascii="Californian FB" w:hAnsi="Californian FB"/>
          <w:sz w:val="24"/>
          <w:szCs w:val="24"/>
        </w:rPr>
        <w:t>insure</w:t>
      </w:r>
      <w:proofErr w:type="gramEnd"/>
      <w:r w:rsidRPr="00F3304E">
        <w:rPr>
          <w:rFonts w:ascii="Californian FB" w:hAnsi="Californian FB"/>
          <w:sz w:val="24"/>
          <w:szCs w:val="24"/>
        </w:rPr>
        <w:t xml:space="preserve"> that no copies of the music file remained on the original purchasers computer, noted that “[w]e are not free to disregard the terms of the statute merely because the entity performing an unauthorized reproduction makes efforts to nullify its consequences by the counterbalancing destruction of the preexisting phonorecords.”  It also noted that its conclusion was consistent with the views of the Copyright Office, first expressed in 2001 and reiterated in 2016 (</w:t>
      </w:r>
      <w:proofErr w:type="gramStart"/>
      <w:r w:rsidRPr="00F3304E">
        <w:rPr>
          <w:rFonts w:ascii="Californian FB" w:hAnsi="Californian FB"/>
          <w:sz w:val="24"/>
          <w:szCs w:val="24"/>
        </w:rPr>
        <w:t>“;a</w:t>
      </w:r>
      <w:proofErr w:type="gramEnd"/>
      <w:r w:rsidRPr="00F3304E">
        <w:rPr>
          <w:rFonts w:ascii="Californian FB" w:hAnsi="Californian FB"/>
          <w:sz w:val="24"/>
          <w:szCs w:val="24"/>
        </w:rPr>
        <w:t xml:space="preserve"> digital file transfer creates a new copy or phonorecord on the transferee’s computer’) and thus does not qualify for first sale protection. U.S. Copyright Office, Library of Cong., The Making Available Right in the United States 22, n.94 (2016).  The Second Circuit also went on to find that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activities were not protected by the fair use doctrine.</w:t>
      </w:r>
    </w:p>
    <w:p w14:paraId="00A37476" w14:textId="0947CC66" w:rsidR="00E400EB" w:rsidRDefault="00E400EB" w:rsidP="00F3304E">
      <w:pPr>
        <w:jc w:val="both"/>
        <w:rPr>
          <w:rFonts w:ascii="Californian FB" w:hAnsi="Californian FB"/>
          <w:sz w:val="24"/>
          <w:szCs w:val="24"/>
        </w:rPr>
      </w:pPr>
      <w:r w:rsidRPr="00F3304E">
        <w:rPr>
          <w:rFonts w:ascii="Californian FB" w:hAnsi="Californian FB"/>
          <w:sz w:val="24"/>
          <w:szCs w:val="24"/>
        </w:rPr>
        <w:t xml:space="preserve">After the complaint was filed in this case,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launched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2.0”.  That system would have allowed purchasers to download music files directly onto </w:t>
      </w:r>
      <w:proofErr w:type="spellStart"/>
      <w:r w:rsidRPr="00F3304E">
        <w:rPr>
          <w:rFonts w:ascii="Californian FB" w:hAnsi="Californian FB"/>
          <w:sz w:val="24"/>
          <w:szCs w:val="24"/>
        </w:rPr>
        <w:t>ReDigi’s</w:t>
      </w:r>
      <w:proofErr w:type="spellEnd"/>
      <w:r w:rsidRPr="00F3304E">
        <w:rPr>
          <w:rFonts w:ascii="Californian FB" w:hAnsi="Californian FB"/>
          <w:sz w:val="24"/>
          <w:szCs w:val="24"/>
        </w:rPr>
        <w:t xml:space="preserve"> servers, and stream the song whenever they wanted to listen to it.  If they wanted to sell the song, the right to access the song via streaming would simply be transferred or reallocated to the buyer.  In this system, no copy of the song is made (after the initial authorized copy that occurs when the song is first purchased).  Both the trial and appeals court refused to reach the question of the legality of that alternative version of the service because the complaint only addressed the original version of the system.  </w:t>
      </w:r>
      <w:proofErr w:type="gramStart"/>
      <w:r w:rsidRPr="00F3304E">
        <w:rPr>
          <w:rFonts w:ascii="Californian FB" w:hAnsi="Californian FB"/>
          <w:sz w:val="24"/>
          <w:szCs w:val="24"/>
        </w:rPr>
        <w:t>However</w:t>
      </w:r>
      <w:proofErr w:type="gramEnd"/>
      <w:r w:rsidRPr="00F3304E">
        <w:rPr>
          <w:rFonts w:ascii="Californian FB" w:hAnsi="Californian FB"/>
          <w:sz w:val="24"/>
          <w:szCs w:val="24"/>
        </w:rPr>
        <w:t xml:space="preserve"> the stipulated judgment in the case forbids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from operating version 2.0.  The Second Circuit noted in a footnote that “[b]</w:t>
      </w:r>
      <w:proofErr w:type="spellStart"/>
      <w:r w:rsidRPr="00F3304E">
        <w:rPr>
          <w:rFonts w:ascii="Californian FB" w:hAnsi="Californian FB"/>
          <w:sz w:val="24"/>
          <w:szCs w:val="24"/>
        </w:rPr>
        <w:t>ecause</w:t>
      </w:r>
      <w:proofErr w:type="spellEnd"/>
      <w:r w:rsidRPr="00F3304E">
        <w:rPr>
          <w:rFonts w:ascii="Californian FB" w:hAnsi="Californian FB"/>
          <w:sz w:val="24"/>
          <w:szCs w:val="24"/>
        </w:rPr>
        <w:t xml:space="preserve"> neither we, nor the district court, have decided whether version 2.0 would infringe, this opinion does not decide on the lawfulness of the use—by persons who are independent of the Defendants—of systems functioning like version 2.0, at least to the extent that their systems differ from the aspects of version 1.0 that are adjudicated in this opinion.”  What is your assessment of the legality of a system like </w:t>
      </w:r>
      <w:proofErr w:type="spellStart"/>
      <w:r w:rsidRPr="00F3304E">
        <w:rPr>
          <w:rFonts w:ascii="Californian FB" w:hAnsi="Californian FB"/>
          <w:sz w:val="24"/>
          <w:szCs w:val="24"/>
        </w:rPr>
        <w:t>ReDigi</w:t>
      </w:r>
      <w:proofErr w:type="spellEnd"/>
      <w:r w:rsidRPr="00F3304E">
        <w:rPr>
          <w:rFonts w:ascii="Californian FB" w:hAnsi="Californian FB"/>
          <w:sz w:val="24"/>
          <w:szCs w:val="24"/>
        </w:rPr>
        <w:t xml:space="preserve"> 2.0?</w:t>
      </w:r>
    </w:p>
    <w:p w14:paraId="41F2F42A" w14:textId="783426BF" w:rsidR="00C55F08" w:rsidRPr="00C55F08" w:rsidRDefault="00C55F08" w:rsidP="00ED6BE0">
      <w:pPr>
        <w:shd w:val="clear" w:color="auto" w:fill="FFFFFF"/>
        <w:rPr>
          <w:rFonts w:ascii="Californian FB" w:eastAsia="Times New Roman" w:hAnsi="Californian FB" w:cstheme="minorHAnsi"/>
          <w:sz w:val="28"/>
          <w:szCs w:val="28"/>
        </w:rPr>
      </w:pPr>
      <w:r w:rsidRPr="00C55F08">
        <w:rPr>
          <w:rFonts w:ascii="Californian FB" w:eastAsia="Times New Roman" w:hAnsi="Californian FB" w:cstheme="minorHAnsi"/>
          <w:sz w:val="28"/>
          <w:szCs w:val="28"/>
        </w:rPr>
        <w:t>p.  820 – Insert the following at the end of the first (carry-over) paragraph.</w:t>
      </w:r>
    </w:p>
    <w:p w14:paraId="7E504272" w14:textId="305CEB97" w:rsidR="00C55F08" w:rsidRPr="00C55F08" w:rsidRDefault="00C55F08" w:rsidP="00ED6BE0">
      <w:pPr>
        <w:shd w:val="clear" w:color="auto" w:fill="FFFFFF"/>
        <w:jc w:val="both"/>
        <w:rPr>
          <w:rFonts w:ascii="Californian FB" w:eastAsia="Times New Roman" w:hAnsi="Californian FB" w:cstheme="minorHAnsi"/>
          <w:sz w:val="24"/>
          <w:szCs w:val="24"/>
        </w:rPr>
      </w:pPr>
      <w:r w:rsidRPr="00C55F08">
        <w:rPr>
          <w:rFonts w:ascii="Californian FB" w:eastAsia="Times New Roman" w:hAnsi="Californian FB" w:cstheme="minorHAnsi"/>
          <w:sz w:val="24"/>
          <w:szCs w:val="24"/>
        </w:rPr>
        <w:t xml:space="preserve">In July of 2018 the Ninth Circuit affirmed this ruling, see </w:t>
      </w:r>
      <w:hyperlink r:id="rId276" w:history="1">
        <w:r w:rsidRPr="00AC1C40">
          <w:rPr>
            <w:rStyle w:val="Hyperlink"/>
            <w:rFonts w:ascii="Californian FB" w:eastAsia="Times New Roman" w:hAnsi="Californian FB" w:cstheme="minorHAnsi"/>
            <w:color w:val="2E74B5" w:themeColor="accent1" w:themeShade="BF"/>
            <w:sz w:val="24"/>
            <w:szCs w:val="24"/>
          </w:rPr>
          <w:t>Close v. Sotheby's, Inc.,</w:t>
        </w:r>
        <w:r w:rsidR="00AC1C40" w:rsidRPr="00AC1C40">
          <w:rPr>
            <w:rFonts w:ascii="Californian FB" w:eastAsia="Times New Roman" w:hAnsi="Californian FB" w:cs="Times New Roman"/>
            <w:color w:val="2E74B5" w:themeColor="accent1" w:themeShade="BF"/>
            <w:sz w:val="24"/>
            <w:szCs w:val="24"/>
          </w:rPr>
          <w:t xml:space="preserve"> 894 F.3d </w:t>
        </w:r>
        <w:proofErr w:type="gramStart"/>
        <w:r w:rsidR="00AC1C40" w:rsidRPr="00AC1C40">
          <w:rPr>
            <w:rFonts w:ascii="Californian FB" w:eastAsia="Times New Roman" w:hAnsi="Californian FB" w:cs="Times New Roman"/>
            <w:color w:val="2E74B5" w:themeColor="accent1" w:themeShade="BF"/>
            <w:sz w:val="24"/>
            <w:szCs w:val="24"/>
          </w:rPr>
          <w:t>1061</w:t>
        </w:r>
        <w:r w:rsidRPr="00AC1C40">
          <w:rPr>
            <w:rStyle w:val="Hyperlink"/>
            <w:rFonts w:ascii="Californian FB" w:eastAsia="Times New Roman" w:hAnsi="Californian FB" w:cstheme="minorHAnsi"/>
            <w:color w:val="2E74B5" w:themeColor="accent1" w:themeShade="BF"/>
            <w:sz w:val="24"/>
            <w:szCs w:val="24"/>
          </w:rPr>
          <w:t xml:space="preserve">  (</w:t>
        </w:r>
        <w:proofErr w:type="gramEnd"/>
        <w:r w:rsidRPr="00AC1C40">
          <w:rPr>
            <w:rStyle w:val="Hyperlink"/>
            <w:rFonts w:ascii="Californian FB" w:eastAsia="Times New Roman" w:hAnsi="Californian FB" w:cstheme="minorHAnsi"/>
            <w:color w:val="2E74B5" w:themeColor="accent1" w:themeShade="BF"/>
            <w:sz w:val="24"/>
            <w:szCs w:val="24"/>
          </w:rPr>
          <w:t>9th Cir. 2018)</w:t>
        </w:r>
      </w:hyperlink>
      <w:r w:rsidRPr="00C55F08">
        <w:rPr>
          <w:rFonts w:ascii="Californian FB" w:eastAsia="Times New Roman" w:hAnsi="Californian FB" w:cstheme="minorHAnsi"/>
          <w:sz w:val="24"/>
          <w:szCs w:val="24"/>
        </w:rPr>
        <w:t>.  However</w:t>
      </w:r>
      <w:r w:rsidR="00AC1C40">
        <w:rPr>
          <w:rFonts w:ascii="Californian FB" w:eastAsia="Times New Roman" w:hAnsi="Californian FB" w:cstheme="minorHAnsi"/>
          <w:sz w:val="24"/>
          <w:szCs w:val="24"/>
        </w:rPr>
        <w:t>,</w:t>
      </w:r>
      <w:r w:rsidRPr="00C55F08">
        <w:rPr>
          <w:rFonts w:ascii="Californian FB" w:eastAsia="Times New Roman" w:hAnsi="Californian FB" w:cstheme="minorHAnsi"/>
          <w:sz w:val="24"/>
          <w:szCs w:val="24"/>
        </w:rPr>
        <w:t xml:space="preserve"> the Ninth Circuit held that for sales that took place prior to the effective date of the current copyright statute (January 1, 1978), but after the California law became effective, the California Resale Royalties Act was not pre-empted.  As the court summarized, “Our </w:t>
      </w:r>
      <w:r w:rsidRPr="00C55F08">
        <w:rPr>
          <w:rFonts w:ascii="Californian FB" w:eastAsia="Times New Roman" w:hAnsi="Californian FB" w:cstheme="minorHAnsi"/>
          <w:sz w:val="24"/>
          <w:szCs w:val="24"/>
        </w:rPr>
        <w:lastRenderedPageBreak/>
        <w:t>decision today means that the CRRA had a short effective life. California’s statute permissibly coexisted for exactly one year alongside the 1909 Act. Once the 1976 Act took effect, however, the balance of state versus federal copyright protection shifted and the CRRA was preempted by § 301(a). Thus, plaintiffs at most can only state claims for the period between the CRRA’s effective date of January 1, 1977, and the 1976 Act’s effective date of January 1, 1978.”</w:t>
      </w:r>
    </w:p>
    <w:p w14:paraId="37B74220" w14:textId="77777777" w:rsidR="00694EE7" w:rsidRDefault="00694EE7" w:rsidP="00ED6BE0">
      <w:pPr>
        <w:shd w:val="clear" w:color="auto" w:fill="FFFFFF"/>
        <w:rPr>
          <w:rFonts w:ascii="Californian FB" w:eastAsia="Times New Roman" w:hAnsi="Californian FB" w:cstheme="minorHAnsi"/>
          <w:b/>
          <w:sz w:val="28"/>
          <w:szCs w:val="28"/>
        </w:rPr>
      </w:pPr>
    </w:p>
    <w:p w14:paraId="2C7EDA52" w14:textId="29A68A45" w:rsidR="00CA2EB3" w:rsidRDefault="00CA2EB3" w:rsidP="00ED6BE0">
      <w:pPr>
        <w:shd w:val="clear" w:color="auto" w:fill="FFFFFF"/>
        <w:rPr>
          <w:rFonts w:ascii="Californian FB" w:eastAsia="Times New Roman" w:hAnsi="Californian FB" w:cstheme="minorHAnsi"/>
          <w:b/>
          <w:sz w:val="28"/>
          <w:szCs w:val="28"/>
        </w:rPr>
      </w:pPr>
      <w:r w:rsidRPr="00CA2EB3">
        <w:rPr>
          <w:rFonts w:ascii="Californian FB" w:eastAsia="Times New Roman" w:hAnsi="Californian FB" w:cstheme="minorHAnsi"/>
          <w:b/>
          <w:sz w:val="28"/>
          <w:szCs w:val="28"/>
        </w:rPr>
        <w:t>E. Protecting Integrity and Attribution: “Moral Rights” and the Visual Artists Rights Act</w:t>
      </w:r>
    </w:p>
    <w:p w14:paraId="74C0786F" w14:textId="43C254D5" w:rsidR="00694EE7" w:rsidRDefault="00694EE7" w:rsidP="00ED6BE0">
      <w:pPr>
        <w:rPr>
          <w:rFonts w:ascii="Californian FB" w:hAnsi="Californian FB"/>
          <w:sz w:val="28"/>
          <w:szCs w:val="28"/>
        </w:rPr>
      </w:pPr>
      <w:r>
        <w:rPr>
          <w:rFonts w:ascii="Californian FB" w:hAnsi="Californian FB"/>
          <w:sz w:val="28"/>
          <w:szCs w:val="28"/>
        </w:rPr>
        <w:t xml:space="preserve">p. </w:t>
      </w:r>
      <w:r w:rsidRPr="0074181E">
        <w:rPr>
          <w:rFonts w:ascii="Californian FB" w:hAnsi="Californian FB"/>
          <w:sz w:val="28"/>
          <w:szCs w:val="28"/>
        </w:rPr>
        <w:t>873 – Insert the following after the last paragraph</w:t>
      </w:r>
      <w:r w:rsidR="007C0518">
        <w:rPr>
          <w:rFonts w:ascii="Californian FB" w:hAnsi="Californian FB"/>
          <w:sz w:val="28"/>
          <w:szCs w:val="28"/>
        </w:rPr>
        <w:t>:</w:t>
      </w:r>
    </w:p>
    <w:p w14:paraId="267920DC" w14:textId="08AFEDA0" w:rsidR="00694EE7" w:rsidRPr="004628D5" w:rsidRDefault="00694EE7" w:rsidP="00ED6BE0">
      <w:pPr>
        <w:jc w:val="both"/>
        <w:rPr>
          <w:rFonts w:ascii="Californian FB" w:hAnsi="Californian FB"/>
          <w:sz w:val="24"/>
          <w:szCs w:val="24"/>
        </w:rPr>
      </w:pPr>
      <w:r>
        <w:rPr>
          <w:rFonts w:ascii="Californian FB" w:hAnsi="Californian FB"/>
          <w:szCs w:val="24"/>
        </w:rPr>
        <w:tab/>
      </w:r>
      <w:r w:rsidRPr="004628D5">
        <w:rPr>
          <w:rFonts w:ascii="Californian FB" w:hAnsi="Californian FB"/>
          <w:sz w:val="24"/>
          <w:szCs w:val="24"/>
        </w:rPr>
        <w:t>Indeed, in one sense, current U.S. copyright law actually includes a provision affirmatively privileging violations of the right of integrity, at least as regards motion pictures.  In 2005 Congress adopted a statute called the Family Movie Act (codified as 17 U.S.C. § 110(11)), which shields from liability acts that filter out portions of a motion picture (such as scenes involving nudity, sex, violence or crude language) during a performance, provided the performance is being made from a lawful copy of the movie, and no new copy is made.  Of course, many filmmakers include such scenes precisely because they feel they contribute to the story they are trying to tell, and likely feel that the elimination of such scenes destroys or at least alters their artistic vision.  Nonetheless, current U.S. law provides a safe harbor for this kind of on-the-fly alteration.  (You can find a few more details about the Family Movie Act at page 945, where we discuss limitations on performance and display rights more generally.)  Do you think that the Family Movie Act violates U.S. obligations under the Berne Convention?  Is the conduct it authorizes any different from a view</w:t>
      </w:r>
      <w:r w:rsidR="000C50A5" w:rsidRPr="004628D5">
        <w:rPr>
          <w:rFonts w:ascii="Californian FB" w:hAnsi="Californian FB"/>
          <w:sz w:val="24"/>
          <w:szCs w:val="24"/>
        </w:rPr>
        <w:t>er</w:t>
      </w:r>
      <w:r w:rsidRPr="004628D5">
        <w:rPr>
          <w:rFonts w:ascii="Californian FB" w:hAnsi="Californian FB"/>
          <w:sz w:val="24"/>
          <w:szCs w:val="24"/>
        </w:rPr>
        <w:t xml:space="preserve"> hitting the mute button or closing his or her eyes to avoid objectionable content?</w:t>
      </w:r>
    </w:p>
    <w:p w14:paraId="7ABACF12" w14:textId="77777777" w:rsidR="003B40D3" w:rsidRDefault="003B40D3" w:rsidP="00ED6BE0">
      <w:pPr>
        <w:shd w:val="clear" w:color="auto" w:fill="FFFFFF"/>
        <w:rPr>
          <w:rFonts w:ascii="Californian FB" w:eastAsia="Times New Roman" w:hAnsi="Californian FB" w:cstheme="minorHAnsi"/>
          <w:sz w:val="28"/>
          <w:szCs w:val="28"/>
        </w:rPr>
      </w:pPr>
    </w:p>
    <w:p w14:paraId="0A1A6832" w14:textId="61F8F3E7" w:rsidR="00CA2EB3" w:rsidRDefault="00CA2EB3" w:rsidP="00ED6BE0">
      <w:pPr>
        <w:shd w:val="clear" w:color="auto" w:fill="FFFFFF"/>
        <w:rPr>
          <w:rFonts w:ascii="Californian FB" w:eastAsia="Times New Roman" w:hAnsi="Californian FB" w:cstheme="minorHAnsi"/>
          <w:sz w:val="28"/>
          <w:szCs w:val="28"/>
        </w:rPr>
      </w:pPr>
      <w:r>
        <w:rPr>
          <w:rFonts w:ascii="Californian FB" w:eastAsia="Times New Roman" w:hAnsi="Californian FB" w:cstheme="minorHAnsi"/>
          <w:sz w:val="28"/>
          <w:szCs w:val="28"/>
        </w:rPr>
        <w:t>p. 893 – Replace the second paragraph with the following:</w:t>
      </w:r>
    </w:p>
    <w:p w14:paraId="6094A853" w14:textId="67E8FC80" w:rsidR="00732957" w:rsidRPr="00732957" w:rsidRDefault="00732957" w:rsidP="00732957">
      <w:pPr>
        <w:ind w:firstLine="360"/>
        <w:rPr>
          <w:rFonts w:ascii="Californian FB" w:hAnsi="Californian FB"/>
          <w:sz w:val="24"/>
          <w:szCs w:val="24"/>
        </w:rPr>
      </w:pPr>
      <w:r w:rsidRPr="00732957">
        <w:rPr>
          <w:rFonts w:ascii="Californian FB" w:hAnsi="Californian FB"/>
          <w:sz w:val="24"/>
          <w:szCs w:val="24"/>
        </w:rPr>
        <w:t>Four years later, when the case had finally proceeded to a full trial on the merits, the district court held that the defendants had indeed violated VARA, and awarded the plaintiffs $6.75 million in damages</w:t>
      </w:r>
      <w:r>
        <w:rPr>
          <w:rFonts w:ascii="Californian FB" w:hAnsi="Californian FB"/>
          <w:sz w:val="24"/>
          <w:szCs w:val="24"/>
        </w:rPr>
        <w:t xml:space="preserve"> </w:t>
      </w:r>
      <w:r w:rsidRPr="00732957">
        <w:rPr>
          <w:rFonts w:ascii="Californian FB" w:hAnsi="Californian FB"/>
          <w:sz w:val="24"/>
          <w:szCs w:val="24"/>
        </w:rPr>
        <w:t>—</w:t>
      </w:r>
      <w:r>
        <w:rPr>
          <w:rFonts w:ascii="Californian FB" w:hAnsi="Californian FB"/>
          <w:sz w:val="24"/>
          <w:szCs w:val="24"/>
        </w:rPr>
        <w:t xml:space="preserve"> the </w:t>
      </w:r>
      <w:r w:rsidRPr="00732957">
        <w:rPr>
          <w:rFonts w:ascii="Californian FB" w:hAnsi="Californian FB"/>
          <w:sz w:val="24"/>
          <w:szCs w:val="24"/>
        </w:rPr>
        <w:t xml:space="preserve">maximum statutory damages of $150,000 for each of the 45 destroyed works of art that the court found were of “recognized statute.”  On appeal the Second Circuit affirmed.  </w:t>
      </w:r>
      <w:r w:rsidRPr="00732957">
        <w:rPr>
          <w:rFonts w:ascii="Californian FB" w:hAnsi="Californian FB"/>
          <w:i/>
          <w:sz w:val="24"/>
          <w:szCs w:val="24"/>
        </w:rPr>
        <w:t xml:space="preserve">Castillo v. G &amp; M Realty L.P., </w:t>
      </w:r>
      <w:r w:rsidRPr="00732957">
        <w:rPr>
          <w:rFonts w:ascii="Californian FB" w:hAnsi="Californian FB"/>
          <w:sz w:val="24"/>
          <w:szCs w:val="24"/>
        </w:rPr>
        <w:t>950 F.3d 155 (2d Cir. 2020)</w:t>
      </w:r>
      <w:r>
        <w:rPr>
          <w:rFonts w:ascii="Californian FB" w:hAnsi="Californian FB"/>
          <w:sz w:val="24"/>
          <w:szCs w:val="24"/>
        </w:rPr>
        <w:t>.</w:t>
      </w:r>
    </w:p>
    <w:p w14:paraId="220682CA" w14:textId="13397D9D" w:rsidR="00732957" w:rsidRPr="00732957" w:rsidRDefault="00732957" w:rsidP="00732957">
      <w:pPr>
        <w:ind w:firstLine="360"/>
        <w:rPr>
          <w:rFonts w:ascii="Californian FB" w:hAnsi="Californian FB"/>
          <w:sz w:val="24"/>
          <w:szCs w:val="24"/>
        </w:rPr>
      </w:pPr>
      <w:r w:rsidRPr="00732957">
        <w:rPr>
          <w:rFonts w:ascii="Californian FB" w:hAnsi="Californian FB"/>
          <w:sz w:val="24"/>
          <w:szCs w:val="24"/>
        </w:rPr>
        <w:t>On the substantive question, the court of appeals held that a work qualified as a “work of recognized stature” under VARA if it “is one of high quality, status, or caliber that has been acknowledged as such by a relevant community.”  The court expanded on this test as follows:</w:t>
      </w:r>
    </w:p>
    <w:p w14:paraId="62CEB89F" w14:textId="77777777" w:rsidR="00732957" w:rsidRPr="00732957" w:rsidRDefault="00732957" w:rsidP="00732957">
      <w:pPr>
        <w:ind w:left="360" w:right="360"/>
        <w:jc w:val="both"/>
        <w:rPr>
          <w:rFonts w:ascii="Californian FB" w:hAnsi="Californian FB"/>
          <w:sz w:val="24"/>
          <w:szCs w:val="24"/>
        </w:rPr>
      </w:pPr>
      <w:r w:rsidRPr="00732957">
        <w:rPr>
          <w:rFonts w:ascii="Californian FB" w:hAnsi="Californian FB"/>
          <w:sz w:val="24"/>
          <w:szCs w:val="24"/>
        </w:rPr>
        <w:t>The relevant community will typically be the artistic community, comprising art historians, art critics, museum curators, gallerists, prominent artists, and other experts. Since recognized stature is necessarily a fluid concept, we can conceive of circumstances under which, for example, a “poor” work by an otherwise highly regarded artist nonetheless merits protection from destruction under VARA</w:t>
      </w:r>
      <w:proofErr w:type="gramStart"/>
      <w:r w:rsidRPr="00732957">
        <w:rPr>
          <w:rFonts w:ascii="Californian FB" w:hAnsi="Californian FB"/>
          <w:sz w:val="24"/>
          <w:szCs w:val="24"/>
        </w:rPr>
        <w:t>. . . .</w:t>
      </w:r>
      <w:proofErr w:type="gramEnd"/>
      <w:r w:rsidRPr="00732957">
        <w:rPr>
          <w:rFonts w:ascii="Californian FB" w:hAnsi="Californian FB"/>
          <w:sz w:val="24"/>
          <w:szCs w:val="24"/>
        </w:rPr>
        <w:t xml:space="preserve"> For that reason, aside from the rare case where an artist or work is of such prominence that the issue of </w:t>
      </w:r>
      <w:r w:rsidRPr="00732957">
        <w:rPr>
          <w:rFonts w:ascii="Californian FB" w:hAnsi="Californian FB"/>
          <w:sz w:val="24"/>
          <w:szCs w:val="24"/>
        </w:rPr>
        <w:lastRenderedPageBreak/>
        <w:t>recognized stature need not be tried, expert testimony or substantial evidence of non-expert recognition will generally be required to establish recognized stature.</w:t>
      </w:r>
    </w:p>
    <w:p w14:paraId="6356B619" w14:textId="57E99430" w:rsidR="00732957" w:rsidRPr="00732957" w:rsidRDefault="00732957" w:rsidP="00732957">
      <w:pPr>
        <w:ind w:firstLine="360"/>
        <w:jc w:val="both"/>
        <w:rPr>
          <w:rFonts w:ascii="Californian FB" w:hAnsi="Californian FB"/>
          <w:sz w:val="24"/>
          <w:szCs w:val="24"/>
        </w:rPr>
      </w:pPr>
      <w:r w:rsidRPr="00732957">
        <w:rPr>
          <w:rFonts w:ascii="Californian FB" w:hAnsi="Californian FB"/>
          <w:sz w:val="24"/>
          <w:szCs w:val="24"/>
        </w:rPr>
        <w:t>The defendant had argued that since it was routine for many of the works at 5Pointz to be “overpainted” after a short period of time, their temporary nature precluded a finding that they were of recognized stature.  The court rejected this contention, citing various acclaimed works of art that were also temporary such as acclaimed artist Christo’s installation of over 7500 orange draped gates in Central Park.  The court embraced a flexible, case-by-case approach on this question saying that although “a work’s short lifespan means that there will be fewer opportunities for the work to be viewed and evaluated, the temporary nature of the art is not a bar to recognized stature.”</w:t>
      </w:r>
    </w:p>
    <w:p w14:paraId="3770686B" w14:textId="5A37EDFB" w:rsidR="00732957" w:rsidRPr="00732957" w:rsidRDefault="00732957" w:rsidP="00732957">
      <w:pPr>
        <w:ind w:firstLine="360"/>
        <w:jc w:val="both"/>
        <w:rPr>
          <w:rFonts w:ascii="Californian FB" w:hAnsi="Californian FB"/>
          <w:sz w:val="24"/>
          <w:szCs w:val="24"/>
        </w:rPr>
      </w:pPr>
      <w:r w:rsidRPr="00732957">
        <w:rPr>
          <w:rFonts w:ascii="Californian FB" w:hAnsi="Californian FB"/>
          <w:sz w:val="24"/>
          <w:szCs w:val="24"/>
        </w:rPr>
        <w:t>Given that the plaintiff’s expert witness was credible and that the issue of “recognized stature” is a question of fact that can only be disturbed on appeal if clearly erroneous, the Second Circuit saw no reason to set aside the findings below.</w:t>
      </w:r>
    </w:p>
    <w:p w14:paraId="5BC2C833" w14:textId="214ACBD7" w:rsidR="00732957" w:rsidRPr="00732957" w:rsidRDefault="00732957" w:rsidP="00732957">
      <w:pPr>
        <w:ind w:firstLine="360"/>
        <w:jc w:val="both"/>
        <w:rPr>
          <w:rFonts w:ascii="Californian FB" w:hAnsi="Californian FB"/>
          <w:sz w:val="24"/>
          <w:szCs w:val="24"/>
        </w:rPr>
      </w:pPr>
      <w:r w:rsidRPr="00732957">
        <w:rPr>
          <w:rFonts w:ascii="Californian FB" w:hAnsi="Californian FB"/>
          <w:sz w:val="24"/>
          <w:szCs w:val="24"/>
        </w:rPr>
        <w:t>On the damage issue, the court found the evidence of defendant’s willful violation of plaintiff’s rights compelling, and felt that the award of the maximum amount of statutory damages for each work was a justifiable exercise of the trial court’s discretion.  The court noted instances in which defendant had made misrepresentations to the court with regard to the urgency of demolishing the building, and cited with approval the trial court’s observation that the plaintiffs “</w:t>
      </w:r>
      <w:r>
        <w:rPr>
          <w:rFonts w:ascii="Californian FB" w:hAnsi="Californian FB"/>
          <w:sz w:val="24"/>
          <w:szCs w:val="24"/>
        </w:rPr>
        <w:t>‘</w:t>
      </w:r>
      <w:r w:rsidRPr="00732957">
        <w:rPr>
          <w:rFonts w:ascii="Californian FB" w:hAnsi="Californian FB"/>
          <w:sz w:val="24"/>
          <w:szCs w:val="24"/>
        </w:rPr>
        <w:t>conducted themselves with dignity, maturity, respect, and at all times within the law.</w:t>
      </w:r>
      <w:r>
        <w:rPr>
          <w:rFonts w:ascii="Californian FB" w:hAnsi="Californian FB"/>
          <w:sz w:val="24"/>
          <w:szCs w:val="24"/>
        </w:rPr>
        <w:t>’</w:t>
      </w:r>
      <w:r w:rsidRPr="00732957">
        <w:rPr>
          <w:rFonts w:ascii="Californian FB" w:hAnsi="Californian FB"/>
          <w:sz w:val="24"/>
          <w:szCs w:val="24"/>
        </w:rPr>
        <w:t>”</w:t>
      </w:r>
    </w:p>
    <w:p w14:paraId="100B1C7A" w14:textId="77C6C3F7" w:rsidR="00732957" w:rsidRPr="00732957" w:rsidRDefault="00732957" w:rsidP="00732957">
      <w:pPr>
        <w:ind w:firstLine="360"/>
        <w:jc w:val="both"/>
        <w:rPr>
          <w:rFonts w:ascii="Californian FB" w:hAnsi="Californian FB"/>
          <w:sz w:val="24"/>
          <w:szCs w:val="24"/>
        </w:rPr>
      </w:pPr>
      <w:r w:rsidRPr="00732957">
        <w:rPr>
          <w:rFonts w:ascii="Californian FB" w:hAnsi="Californian FB"/>
          <w:sz w:val="24"/>
          <w:szCs w:val="24"/>
        </w:rPr>
        <w:t xml:space="preserve">The defendants have filed a petition for certiorari which is pending at the time this Supplement was prepared.  In the humble opinion of your authors, the Supreme Court will have no interest in the matter. The principal individual defendant in the case, Gerald </w:t>
      </w:r>
      <w:proofErr w:type="spellStart"/>
      <w:r w:rsidRPr="00732957">
        <w:rPr>
          <w:rFonts w:ascii="Californian FB" w:hAnsi="Californian FB"/>
          <w:sz w:val="24"/>
          <w:szCs w:val="24"/>
        </w:rPr>
        <w:t>Wolkoff</w:t>
      </w:r>
      <w:proofErr w:type="spellEnd"/>
      <w:r w:rsidRPr="00732957">
        <w:rPr>
          <w:rFonts w:ascii="Californian FB" w:hAnsi="Californian FB"/>
          <w:sz w:val="24"/>
          <w:szCs w:val="24"/>
        </w:rPr>
        <w:t xml:space="preserve">, the head of G &amp; M Realty, died in July, 2020, and you can find a brief story about him, and the litigation, if you </w:t>
      </w:r>
      <w:hyperlink r:id="rId277" w:history="1">
        <w:r w:rsidRPr="00732957">
          <w:rPr>
            <w:rStyle w:val="Hyperlink"/>
            <w:rFonts w:ascii="Californian FB" w:hAnsi="Californian FB"/>
            <w:sz w:val="24"/>
            <w:szCs w:val="24"/>
          </w:rPr>
          <w:t>click here.</w:t>
        </w:r>
      </w:hyperlink>
    </w:p>
    <w:p w14:paraId="33DAAE47" w14:textId="77777777" w:rsidR="00732957" w:rsidRDefault="00732957" w:rsidP="00ED6BE0">
      <w:pPr>
        <w:shd w:val="clear" w:color="auto" w:fill="FFFFFF"/>
        <w:rPr>
          <w:rFonts w:ascii="Californian FB" w:eastAsia="Times New Roman" w:hAnsi="Californian FB" w:cstheme="minorHAnsi"/>
          <w:b/>
          <w:sz w:val="28"/>
          <w:szCs w:val="28"/>
        </w:rPr>
      </w:pPr>
    </w:p>
    <w:p w14:paraId="6F8085E4" w14:textId="0926E2E2" w:rsidR="00507496" w:rsidRPr="004637B6" w:rsidRDefault="00507496" w:rsidP="00ED6BE0">
      <w:pPr>
        <w:shd w:val="clear" w:color="auto" w:fill="FFFFFF"/>
        <w:rPr>
          <w:rFonts w:ascii="Californian FB" w:eastAsia="Times New Roman" w:hAnsi="Californian FB" w:cstheme="minorHAnsi"/>
          <w:b/>
          <w:i/>
          <w:sz w:val="28"/>
          <w:szCs w:val="28"/>
        </w:rPr>
      </w:pPr>
      <w:r w:rsidRPr="00507496">
        <w:rPr>
          <w:rFonts w:ascii="Californian FB" w:eastAsia="Times New Roman" w:hAnsi="Californian FB" w:cstheme="minorHAnsi"/>
          <w:b/>
          <w:sz w:val="28"/>
          <w:szCs w:val="28"/>
        </w:rPr>
        <w:t xml:space="preserve">Chapter 12: </w:t>
      </w:r>
      <w:r w:rsidRPr="004637B6">
        <w:rPr>
          <w:rFonts w:ascii="Californian FB" w:eastAsia="Times New Roman" w:hAnsi="Californian FB" w:cstheme="minorHAnsi"/>
          <w:b/>
          <w:i/>
          <w:sz w:val="28"/>
          <w:szCs w:val="28"/>
        </w:rPr>
        <w:t>Public Performance and Display Rights</w:t>
      </w:r>
    </w:p>
    <w:p w14:paraId="3E1DF513" w14:textId="5C01180A" w:rsidR="00507496" w:rsidRDefault="00507496" w:rsidP="00ED6BE0">
      <w:pPr>
        <w:shd w:val="clear" w:color="auto" w:fill="FFFFFF"/>
        <w:rPr>
          <w:rFonts w:ascii="Californian FB" w:eastAsia="Times New Roman" w:hAnsi="Californian FB" w:cstheme="minorHAnsi"/>
          <w:b/>
          <w:sz w:val="28"/>
          <w:szCs w:val="28"/>
        </w:rPr>
      </w:pPr>
      <w:r w:rsidRPr="00507496">
        <w:rPr>
          <w:rFonts w:ascii="Californian FB" w:eastAsia="Times New Roman" w:hAnsi="Californian FB" w:cstheme="minorHAnsi"/>
          <w:b/>
          <w:sz w:val="28"/>
          <w:szCs w:val="28"/>
        </w:rPr>
        <w:t>B. The Emerging Importance of the Display Right</w:t>
      </w:r>
    </w:p>
    <w:p w14:paraId="310420FC" w14:textId="267C1451" w:rsidR="00507496" w:rsidRDefault="00507496" w:rsidP="00ED6BE0">
      <w:pPr>
        <w:shd w:val="clear" w:color="auto" w:fill="FFFFFF"/>
        <w:rPr>
          <w:rFonts w:ascii="Californian FB" w:eastAsia="Times New Roman" w:hAnsi="Californian FB" w:cstheme="minorHAnsi"/>
          <w:sz w:val="28"/>
          <w:szCs w:val="28"/>
        </w:rPr>
      </w:pPr>
      <w:r>
        <w:rPr>
          <w:rFonts w:ascii="Californian FB" w:eastAsia="Times New Roman" w:hAnsi="Californian FB" w:cstheme="minorHAnsi"/>
          <w:sz w:val="28"/>
          <w:szCs w:val="28"/>
        </w:rPr>
        <w:t xml:space="preserve">p. </w:t>
      </w:r>
      <w:r w:rsidR="006618CC">
        <w:rPr>
          <w:rFonts w:ascii="Californian FB" w:eastAsia="Times New Roman" w:hAnsi="Californian FB" w:cstheme="minorHAnsi"/>
          <w:sz w:val="28"/>
          <w:szCs w:val="28"/>
        </w:rPr>
        <w:t>9</w:t>
      </w:r>
      <w:r w:rsidR="00483E23">
        <w:rPr>
          <w:rFonts w:ascii="Californian FB" w:eastAsia="Times New Roman" w:hAnsi="Californian FB" w:cstheme="minorHAnsi"/>
          <w:sz w:val="28"/>
          <w:szCs w:val="28"/>
        </w:rPr>
        <w:t>41: Insert After Note 1:</w:t>
      </w:r>
    </w:p>
    <w:p w14:paraId="0255F814" w14:textId="50CB5993" w:rsidR="008431B9" w:rsidRDefault="00483E23" w:rsidP="00ED6BE0">
      <w:pPr>
        <w:shd w:val="clear" w:color="auto" w:fill="FFFFFF"/>
        <w:ind w:left="360" w:hanging="270"/>
        <w:jc w:val="both"/>
        <w:rPr>
          <w:rFonts w:ascii="Californian FB" w:eastAsia="Times New Roman" w:hAnsi="Californian FB" w:cstheme="minorHAnsi"/>
          <w:sz w:val="24"/>
          <w:szCs w:val="24"/>
        </w:rPr>
      </w:pPr>
      <w:r w:rsidRPr="00FF7EDF">
        <w:rPr>
          <w:rFonts w:ascii="Californian FB" w:eastAsia="Times New Roman" w:hAnsi="Californian FB" w:cstheme="minorHAnsi"/>
          <w:b/>
          <w:sz w:val="24"/>
          <w:szCs w:val="24"/>
        </w:rPr>
        <w:t>1A: Limitations on the Server Test?</w:t>
      </w:r>
      <w:r w:rsidR="000C50A5">
        <w:rPr>
          <w:rFonts w:ascii="Californian FB" w:eastAsia="Times New Roman" w:hAnsi="Californian FB" w:cstheme="minorHAnsi"/>
          <w:b/>
          <w:sz w:val="24"/>
          <w:szCs w:val="24"/>
        </w:rPr>
        <w:t xml:space="preserve">  </w:t>
      </w:r>
      <w:r w:rsidR="00DD432C">
        <w:rPr>
          <w:rFonts w:ascii="Californian FB" w:eastAsia="Times New Roman" w:hAnsi="Californian FB" w:cstheme="minorHAnsi"/>
          <w:bCs/>
          <w:sz w:val="24"/>
          <w:szCs w:val="24"/>
        </w:rPr>
        <w:t xml:space="preserve">In two cases decided in 2018 and 2021, judges in the Southern District of New York have rejected </w:t>
      </w:r>
      <w:r w:rsidR="00DD432C" w:rsidRPr="00DD432C">
        <w:rPr>
          <w:rFonts w:ascii="Californian FB" w:eastAsia="Times New Roman" w:hAnsi="Californian FB" w:cstheme="minorHAnsi"/>
          <w:bCs/>
          <w:i/>
          <w:iCs/>
          <w:sz w:val="24"/>
          <w:szCs w:val="24"/>
        </w:rPr>
        <w:t>Perfect 10 v. Amazon</w:t>
      </w:r>
      <w:r w:rsidR="00DD432C">
        <w:rPr>
          <w:rFonts w:ascii="Californian FB" w:eastAsia="Times New Roman" w:hAnsi="Californian FB" w:cstheme="minorHAnsi"/>
          <w:bCs/>
          <w:sz w:val="24"/>
          <w:szCs w:val="24"/>
        </w:rPr>
        <w:t xml:space="preserve">’s </w:t>
      </w:r>
      <w:r w:rsidR="00DD432C" w:rsidRPr="00DD432C">
        <w:rPr>
          <w:rFonts w:ascii="Californian FB" w:eastAsia="Times New Roman" w:hAnsi="Californian FB" w:cstheme="minorHAnsi"/>
          <w:bCs/>
          <w:sz w:val="24"/>
          <w:szCs w:val="24"/>
        </w:rPr>
        <w:t>“server test.”</w:t>
      </w:r>
      <w:r w:rsidR="00DD432C">
        <w:rPr>
          <w:rFonts w:ascii="Californian FB" w:eastAsia="Times New Roman" w:hAnsi="Californian FB" w:cstheme="minorHAnsi"/>
          <w:bCs/>
          <w:sz w:val="24"/>
          <w:szCs w:val="24"/>
        </w:rPr>
        <w:t xml:space="preserve"> </w:t>
      </w:r>
      <w:r w:rsidR="00DD432C" w:rsidRPr="00DD432C">
        <w:rPr>
          <w:rFonts w:ascii="Californian FB" w:eastAsia="Times New Roman" w:hAnsi="Californian FB" w:cstheme="minorHAnsi"/>
          <w:bCs/>
          <w:sz w:val="24"/>
          <w:szCs w:val="24"/>
        </w:rPr>
        <w:t xml:space="preserve"> </w:t>
      </w:r>
      <w:r w:rsidR="00F97E90">
        <w:rPr>
          <w:rFonts w:ascii="Californian FB" w:eastAsia="Times New Roman" w:hAnsi="Californian FB" w:cstheme="minorHAnsi"/>
          <w:sz w:val="24"/>
          <w:szCs w:val="24"/>
        </w:rPr>
        <w:t xml:space="preserve">In </w:t>
      </w:r>
      <w:hyperlink r:id="rId278" w:history="1">
        <w:r w:rsidR="00507496" w:rsidRPr="0079446D">
          <w:rPr>
            <w:rStyle w:val="Hyperlink"/>
            <w:rFonts w:ascii="Californian FB" w:eastAsia="Times New Roman" w:hAnsi="Californian FB" w:cstheme="minorHAnsi"/>
            <w:i/>
            <w:sz w:val="24"/>
            <w:szCs w:val="24"/>
          </w:rPr>
          <w:t>Goldman v. Breitbart News Network, LLC</w:t>
        </w:r>
        <w:r w:rsidR="00507496" w:rsidRPr="0079446D">
          <w:rPr>
            <w:rStyle w:val="Hyperlink"/>
            <w:rFonts w:ascii="Californian FB" w:eastAsia="Times New Roman" w:hAnsi="Californian FB" w:cstheme="minorHAnsi"/>
            <w:sz w:val="24"/>
            <w:szCs w:val="24"/>
          </w:rPr>
          <w:t>, 302 F.Supp.3d 585 (2018)</w:t>
        </w:r>
      </w:hyperlink>
      <w:r w:rsidR="003E234C">
        <w:rPr>
          <w:rStyle w:val="Hyperlink"/>
          <w:rFonts w:ascii="Californian FB" w:eastAsia="Times New Roman" w:hAnsi="Californian FB" w:cstheme="minorHAnsi"/>
          <w:sz w:val="24"/>
          <w:szCs w:val="24"/>
        </w:rPr>
        <w:t>,</w:t>
      </w:r>
      <w:r w:rsidR="00DD432C">
        <w:rPr>
          <w:rStyle w:val="Hyperlink"/>
          <w:rFonts w:ascii="Californian FB" w:eastAsia="Times New Roman" w:hAnsi="Californian FB" w:cstheme="minorHAnsi"/>
          <w:sz w:val="24"/>
          <w:szCs w:val="24"/>
        </w:rPr>
        <w:t xml:space="preserve"> </w:t>
      </w:r>
      <w:r w:rsidR="008431B9">
        <w:rPr>
          <w:rFonts w:ascii="Californian FB" w:eastAsia="Times New Roman" w:hAnsi="Californian FB" w:cstheme="minorHAnsi"/>
          <w:sz w:val="24"/>
          <w:szCs w:val="24"/>
        </w:rPr>
        <w:t xml:space="preserve">plaintiff Justin Goldman took a photograph of New England Patriots quarterback Tom Brady and Boston Celtics General Manager Danny Ainge walking down a street together in East Hampton, New York.  </w:t>
      </w:r>
      <w:r w:rsidR="003E234C">
        <w:rPr>
          <w:rFonts w:ascii="Californian FB" w:eastAsia="Times New Roman" w:hAnsi="Californian FB" w:cstheme="minorHAnsi"/>
          <w:sz w:val="24"/>
          <w:szCs w:val="24"/>
        </w:rPr>
        <w:t xml:space="preserve">Goldman </w:t>
      </w:r>
      <w:r w:rsidR="008431B9">
        <w:rPr>
          <w:rFonts w:ascii="Californian FB" w:eastAsia="Times New Roman" w:hAnsi="Californian FB" w:cstheme="minorHAnsi"/>
          <w:sz w:val="24"/>
          <w:szCs w:val="24"/>
        </w:rPr>
        <w:t>posted the photograph to his private Snapchat Story, accessible only to friends.  The photograph was</w:t>
      </w:r>
      <w:r w:rsidR="00F97E90">
        <w:rPr>
          <w:rFonts w:ascii="Californian FB" w:eastAsia="Times New Roman" w:hAnsi="Californian FB" w:cstheme="minorHAnsi"/>
          <w:i/>
          <w:sz w:val="24"/>
          <w:szCs w:val="24"/>
        </w:rPr>
        <w:t xml:space="preserve"> </w:t>
      </w:r>
      <w:r w:rsidR="008431B9">
        <w:rPr>
          <w:rFonts w:ascii="Californian FB" w:eastAsia="Times New Roman" w:hAnsi="Californian FB" w:cstheme="minorHAnsi"/>
          <w:sz w:val="24"/>
          <w:szCs w:val="24"/>
        </w:rPr>
        <w:t xml:space="preserve">apparently interesting to sports fans because the Boston Celtics were at the time trying to recruit star basketball player Kevin Durant, and the photo boosted speculation that Tom Brady – a football player, not a basketball player – was involved in the recruitment effort, which would have been quite unusual. Someone with access to Goldman’s Snapchat </w:t>
      </w:r>
      <w:r w:rsidR="008431B9">
        <w:rPr>
          <w:rFonts w:ascii="Californian FB" w:eastAsia="Times New Roman" w:hAnsi="Californian FB" w:cstheme="minorHAnsi"/>
          <w:sz w:val="24"/>
          <w:szCs w:val="24"/>
        </w:rPr>
        <w:lastRenderedPageBreak/>
        <w:t xml:space="preserve">story copied and distributed the photo, and it ended up featuring in several Tweets.  The </w:t>
      </w:r>
      <w:r w:rsidR="00372ED7" w:rsidRPr="003D7E14">
        <w:rPr>
          <w:rFonts w:ascii="Californian FB" w:hAnsi="Californian FB"/>
          <w:noProof/>
          <w:color w:val="000000"/>
          <w:sz w:val="24"/>
          <w:szCs w:val="24"/>
        </w:rPr>
        <mc:AlternateContent>
          <mc:Choice Requires="wps">
            <w:drawing>
              <wp:anchor distT="0" distB="0" distL="114300" distR="114300" simplePos="0" relativeHeight="251676672" behindDoc="0" locked="0" layoutInCell="1" allowOverlap="1" wp14:anchorId="077A564D" wp14:editId="76963D2E">
                <wp:simplePos x="0" y="0"/>
                <wp:positionH relativeFrom="column">
                  <wp:posOffset>251460</wp:posOffset>
                </wp:positionH>
                <wp:positionV relativeFrom="paragraph">
                  <wp:posOffset>638175</wp:posOffset>
                </wp:positionV>
                <wp:extent cx="1707515" cy="891540"/>
                <wp:effectExtent l="0" t="0" r="6985" b="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91540"/>
                        </a:xfrm>
                        <a:prstGeom prst="rect">
                          <a:avLst/>
                        </a:prstGeom>
                        <a:solidFill>
                          <a:srgbClr val="B8CCE4"/>
                        </a:solidFill>
                        <a:ln w="9525">
                          <a:noFill/>
                          <a:miter lim="800000"/>
                          <a:headEnd/>
                          <a:tailEnd/>
                        </a:ln>
                      </wps:spPr>
                      <wps:txbx>
                        <w:txbxContent>
                          <w:p w14:paraId="0B3E9FD1" w14:textId="77777777" w:rsidR="00372ED7" w:rsidRDefault="00372ED7" w:rsidP="00372ED7">
                            <w:pPr>
                              <w:spacing w:after="120"/>
                              <w:jc w:val="center"/>
                              <w:rPr>
                                <w:rFonts w:ascii="Californian FB" w:hAnsi="Californian FB"/>
                                <w:b/>
                                <w:sz w:val="20"/>
                                <w:szCs w:val="20"/>
                              </w:rPr>
                            </w:pPr>
                            <w:r>
                              <w:rPr>
                                <w:rFonts w:ascii="Californian FB" w:hAnsi="Californian FB"/>
                                <w:b/>
                                <w:sz w:val="20"/>
                                <w:szCs w:val="20"/>
                              </w:rPr>
                              <w:t>SEE IT</w:t>
                            </w:r>
                          </w:p>
                          <w:p w14:paraId="09A0E3AC" w14:textId="4B6CF947" w:rsidR="00C747A6" w:rsidRPr="00033D51" w:rsidRDefault="00C747A6" w:rsidP="00372ED7">
                            <w:pPr>
                              <w:spacing w:after="120"/>
                              <w:jc w:val="both"/>
                              <w:rPr>
                                <w:rFonts w:ascii="Californian FB" w:hAnsi="Californian FB"/>
                                <w:sz w:val="20"/>
                                <w:szCs w:val="20"/>
                              </w:rPr>
                            </w:pPr>
                            <w:r w:rsidRPr="00033D51">
                              <w:rPr>
                                <w:rFonts w:ascii="Californian FB" w:hAnsi="Californian FB"/>
                                <w:sz w:val="20"/>
                                <w:szCs w:val="20"/>
                              </w:rPr>
                              <w:t xml:space="preserve">You want to see the photo, don’t you?  So did we.  As of this writing, at least </w:t>
                            </w:r>
                            <w:hyperlink r:id="rId279" w:history="1">
                              <w:r w:rsidRPr="00033D51">
                                <w:rPr>
                                  <w:rStyle w:val="Hyperlink"/>
                                  <w:rFonts w:ascii="Californian FB" w:eastAsia="Times New Roman" w:hAnsi="Californian FB" w:cstheme="minorHAnsi"/>
                                  <w:sz w:val="20"/>
                                  <w:szCs w:val="20"/>
                                </w:rPr>
                                <w:t>one Tweet containing the photo is still publicly available</w:t>
                              </w:r>
                            </w:hyperlink>
                            <w:r w:rsidRPr="00033D51">
                              <w:rPr>
                                <w:rFonts w:ascii="Californian FB" w:eastAsia="Times New Roman" w:hAnsi="Californian FB" w:cstheme="minorHAnsi"/>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7A564D" id="_x0000_s1041" type="#_x0000_t202" style="position:absolute;left:0;text-align:left;margin-left:19.8pt;margin-top:50.25pt;width:134.45pt;height:70.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" fillcolor="#b8cce4" stroked="f">
                <v:textbox style="mso-fit-shape-to-text:t">
                  <w:txbxContent>
                    <w:p w14:paraId="0B3E9FD1" w14:textId="77777777" w:rsidR="00372ED7" w:rsidRDefault="00372ED7" w:rsidP="00372ED7">
                      <w:pPr>
                        <w:spacing w:after="120"/>
                        <w:jc w:val="center"/>
                        <w:rPr>
                          <w:rFonts w:ascii="Californian FB" w:hAnsi="Californian FB"/>
                          <w:b/>
                          <w:sz w:val="20"/>
                          <w:szCs w:val="20"/>
                        </w:rPr>
                      </w:pPr>
                      <w:r>
                        <w:rPr>
                          <w:rFonts w:ascii="Californian FB" w:hAnsi="Californian FB"/>
                          <w:b/>
                          <w:sz w:val="20"/>
                          <w:szCs w:val="20"/>
                        </w:rPr>
                        <w:t>SEE IT</w:t>
                      </w:r>
                    </w:p>
                    <w:p w14:paraId="09A0E3AC" w14:textId="4B6CF947" w:rsidR="00C747A6" w:rsidRPr="00033D51" w:rsidRDefault="00C747A6" w:rsidP="00372ED7">
                      <w:pPr>
                        <w:spacing w:after="120"/>
                        <w:jc w:val="both"/>
                        <w:rPr>
                          <w:rFonts w:ascii="Californian FB" w:hAnsi="Californian FB"/>
                          <w:sz w:val="20"/>
                          <w:szCs w:val="20"/>
                        </w:rPr>
                      </w:pPr>
                      <w:r w:rsidRPr="00033D51">
                        <w:rPr>
                          <w:rFonts w:ascii="Californian FB" w:hAnsi="Californian FB"/>
                          <w:sz w:val="20"/>
                          <w:szCs w:val="20"/>
                        </w:rPr>
                        <w:t xml:space="preserve">You want to see the photo, don’t you?  So did we.  As of this writing, at least </w:t>
                      </w:r>
                      <w:hyperlink r:id="rId280" w:history="1">
                        <w:r w:rsidRPr="00033D51">
                          <w:rPr>
                            <w:rStyle w:val="Hyperlink"/>
                            <w:rFonts w:ascii="Californian FB" w:eastAsia="Times New Roman" w:hAnsi="Californian FB" w:cstheme="minorHAnsi"/>
                            <w:sz w:val="20"/>
                            <w:szCs w:val="20"/>
                          </w:rPr>
                          <w:t>one Tweet containing the photo is still publicly available</w:t>
                        </w:r>
                      </w:hyperlink>
                      <w:r w:rsidRPr="00033D51">
                        <w:rPr>
                          <w:rFonts w:ascii="Californian FB" w:eastAsia="Times New Roman" w:hAnsi="Californian FB" w:cstheme="minorHAnsi"/>
                          <w:sz w:val="20"/>
                          <w:szCs w:val="20"/>
                        </w:rPr>
                        <w:t xml:space="preserve">.)  </w:t>
                      </w:r>
                    </w:p>
                  </w:txbxContent>
                </v:textbox>
                <w10:wrap type="square"/>
              </v:shape>
            </w:pict>
          </mc:Fallback>
        </mc:AlternateContent>
      </w:r>
      <w:r w:rsidR="008431B9">
        <w:rPr>
          <w:rFonts w:ascii="Californian FB" w:eastAsia="Times New Roman" w:hAnsi="Californian FB" w:cstheme="minorHAnsi"/>
          <w:sz w:val="24"/>
          <w:szCs w:val="24"/>
        </w:rPr>
        <w:t xml:space="preserve">defendants in the </w:t>
      </w:r>
      <w:r w:rsidR="008431B9">
        <w:rPr>
          <w:rFonts w:ascii="Californian FB" w:eastAsia="Times New Roman" w:hAnsi="Californian FB" w:cstheme="minorHAnsi"/>
          <w:i/>
          <w:sz w:val="24"/>
          <w:szCs w:val="24"/>
        </w:rPr>
        <w:t xml:space="preserve">Goldman </w:t>
      </w:r>
      <w:r w:rsidR="008431B9">
        <w:rPr>
          <w:rFonts w:ascii="Californian FB" w:eastAsia="Times New Roman" w:hAnsi="Californian FB" w:cstheme="minorHAnsi"/>
          <w:sz w:val="24"/>
          <w:szCs w:val="24"/>
        </w:rPr>
        <w:t xml:space="preserve">case, which include, not just Breitbart News Network, but Time Inc., Yahoo, Gannett, the Boston Globe, and others, did what the </w:t>
      </w:r>
      <w:r w:rsidR="008431B9">
        <w:rPr>
          <w:rFonts w:ascii="Californian FB" w:eastAsia="Times New Roman" w:hAnsi="Californian FB" w:cstheme="minorHAnsi"/>
          <w:i/>
          <w:sz w:val="24"/>
          <w:szCs w:val="24"/>
        </w:rPr>
        <w:t xml:space="preserve">Perfect 10 </w:t>
      </w:r>
      <w:r w:rsidR="008431B9">
        <w:rPr>
          <w:rFonts w:ascii="Californian FB" w:eastAsia="Times New Roman" w:hAnsi="Californian FB" w:cstheme="minorHAnsi"/>
          <w:sz w:val="24"/>
          <w:szCs w:val="24"/>
        </w:rPr>
        <w:t xml:space="preserve">court calls “framing,” and </w:t>
      </w:r>
      <w:r w:rsidR="008431B9">
        <w:rPr>
          <w:rFonts w:ascii="Californian FB" w:eastAsia="Times New Roman" w:hAnsi="Californian FB" w:cstheme="minorHAnsi"/>
          <w:i/>
          <w:sz w:val="24"/>
          <w:szCs w:val="24"/>
        </w:rPr>
        <w:t xml:space="preserve">Goldman </w:t>
      </w:r>
      <w:r w:rsidR="008431B9">
        <w:rPr>
          <w:rFonts w:ascii="Californian FB" w:eastAsia="Times New Roman" w:hAnsi="Californian FB" w:cstheme="minorHAnsi"/>
          <w:sz w:val="24"/>
          <w:szCs w:val="24"/>
        </w:rPr>
        <w:t>calls “embedding</w:t>
      </w:r>
      <w:r w:rsidR="007517F0">
        <w:rPr>
          <w:rFonts w:ascii="Californian FB" w:eastAsia="Times New Roman" w:hAnsi="Californian FB" w:cstheme="minorHAnsi"/>
          <w:sz w:val="24"/>
          <w:szCs w:val="24"/>
        </w:rPr>
        <w:t>.</w:t>
      </w:r>
      <w:r w:rsidR="008431B9">
        <w:rPr>
          <w:rFonts w:ascii="Californian FB" w:eastAsia="Times New Roman" w:hAnsi="Californian FB" w:cstheme="minorHAnsi"/>
          <w:sz w:val="24"/>
          <w:szCs w:val="24"/>
        </w:rPr>
        <w:t xml:space="preserve">” </w:t>
      </w:r>
      <w:r w:rsidR="007517F0">
        <w:rPr>
          <w:rFonts w:ascii="Californian FB" w:eastAsia="Times New Roman" w:hAnsi="Californian FB" w:cstheme="minorHAnsi"/>
          <w:sz w:val="24"/>
          <w:szCs w:val="24"/>
        </w:rPr>
        <w:t>T</w:t>
      </w:r>
      <w:r w:rsidR="008431B9">
        <w:rPr>
          <w:rFonts w:ascii="Californian FB" w:eastAsia="Times New Roman" w:hAnsi="Californian FB" w:cstheme="minorHAnsi"/>
          <w:sz w:val="24"/>
          <w:szCs w:val="24"/>
        </w:rPr>
        <w:t>hey created code that caused Goldman’s photo to appear on their webpages, b</w:t>
      </w:r>
      <w:r w:rsidR="007517F0">
        <w:rPr>
          <w:rFonts w:ascii="Californian FB" w:eastAsia="Times New Roman" w:hAnsi="Californian FB" w:cstheme="minorHAnsi"/>
          <w:sz w:val="24"/>
          <w:szCs w:val="24"/>
        </w:rPr>
        <w:t>y</w:t>
      </w:r>
      <w:r w:rsidR="008431B9">
        <w:rPr>
          <w:rFonts w:ascii="Californian FB" w:eastAsia="Times New Roman" w:hAnsi="Californian FB" w:cstheme="minorHAnsi"/>
          <w:sz w:val="24"/>
          <w:szCs w:val="24"/>
        </w:rPr>
        <w:t xml:space="preserve"> pull</w:t>
      </w:r>
      <w:r w:rsidR="007517F0">
        <w:rPr>
          <w:rFonts w:ascii="Californian FB" w:eastAsia="Times New Roman" w:hAnsi="Californian FB" w:cstheme="minorHAnsi"/>
          <w:sz w:val="24"/>
          <w:szCs w:val="24"/>
        </w:rPr>
        <w:t>ing</w:t>
      </w:r>
      <w:r w:rsidR="008431B9">
        <w:rPr>
          <w:rFonts w:ascii="Californian FB" w:eastAsia="Times New Roman" w:hAnsi="Californian FB" w:cstheme="minorHAnsi"/>
          <w:sz w:val="24"/>
          <w:szCs w:val="24"/>
        </w:rPr>
        <w:t xml:space="preserve"> the photo from one of the Tweets that were public at the time. Thus, although the photo appeared </w:t>
      </w:r>
      <w:r w:rsidR="00DB180E">
        <w:rPr>
          <w:rFonts w:ascii="Californian FB" w:eastAsia="Times New Roman" w:hAnsi="Californian FB" w:cstheme="minorHAnsi"/>
          <w:sz w:val="24"/>
          <w:szCs w:val="24"/>
        </w:rPr>
        <w:t xml:space="preserve">visually </w:t>
      </w:r>
      <w:r w:rsidR="008431B9">
        <w:rPr>
          <w:rFonts w:ascii="Californian FB" w:eastAsia="Times New Roman" w:hAnsi="Californian FB" w:cstheme="minorHAnsi"/>
          <w:sz w:val="24"/>
          <w:szCs w:val="24"/>
        </w:rPr>
        <w:t>on the websites of the defendants’ media outlets, no copy of the photo resided on the defendants’ servers</w:t>
      </w:r>
      <w:r w:rsidR="007517F0">
        <w:rPr>
          <w:rFonts w:ascii="Californian FB" w:eastAsia="Times New Roman" w:hAnsi="Californian FB" w:cstheme="minorHAnsi"/>
          <w:sz w:val="24"/>
          <w:szCs w:val="24"/>
        </w:rPr>
        <w:t xml:space="preserve"> –</w:t>
      </w:r>
      <w:r w:rsidR="008431B9">
        <w:rPr>
          <w:rFonts w:ascii="Californian FB" w:eastAsia="Times New Roman" w:hAnsi="Californian FB" w:cstheme="minorHAnsi"/>
          <w:sz w:val="24"/>
          <w:szCs w:val="24"/>
        </w:rPr>
        <w:t xml:space="preserve"> just as no copy of the full-size Perfect 10 photos resided on Google’s servers in the </w:t>
      </w:r>
      <w:r w:rsidR="00C602FF" w:rsidRPr="003D7E14">
        <w:rPr>
          <w:rFonts w:ascii="Californian FB" w:hAnsi="Californian FB"/>
          <w:noProof/>
          <w:color w:val="000000"/>
          <w:sz w:val="24"/>
          <w:szCs w:val="24"/>
        </w:rPr>
        <mc:AlternateContent>
          <mc:Choice Requires="wps">
            <w:drawing>
              <wp:anchor distT="0" distB="0" distL="114300" distR="114300" simplePos="0" relativeHeight="251681792" behindDoc="0" locked="0" layoutInCell="1" allowOverlap="1" wp14:anchorId="1A5712AC" wp14:editId="27E5A932">
                <wp:simplePos x="0" y="0"/>
                <wp:positionH relativeFrom="column">
                  <wp:posOffset>2943225</wp:posOffset>
                </wp:positionH>
                <wp:positionV relativeFrom="page">
                  <wp:posOffset>4109720</wp:posOffset>
                </wp:positionV>
                <wp:extent cx="3033395" cy="5014595"/>
                <wp:effectExtent l="0" t="0" r="0" b="0"/>
                <wp:wrapSquare wrapText="bothSides"/>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5014595"/>
                        </a:xfrm>
                        <a:prstGeom prst="rect">
                          <a:avLst/>
                        </a:prstGeom>
                        <a:solidFill>
                          <a:srgbClr val="B8CCE4"/>
                        </a:solidFill>
                        <a:ln w="9525">
                          <a:noFill/>
                          <a:miter lim="800000"/>
                          <a:headEnd/>
                          <a:tailEnd/>
                        </a:ln>
                      </wps:spPr>
                      <wps:txbx>
                        <w:txbxContent>
                          <w:p w14:paraId="775D99C0" w14:textId="7B985EBD" w:rsidR="00C747A6" w:rsidRPr="00033D51" w:rsidRDefault="00C747A6" w:rsidP="00720FFF">
                            <w:pPr>
                              <w:spacing w:after="120"/>
                              <w:jc w:val="center"/>
                              <w:rPr>
                                <w:rFonts w:ascii="Californian FB" w:hAnsi="Californian FB"/>
                                <w:b/>
                                <w:sz w:val="20"/>
                                <w:szCs w:val="20"/>
                              </w:rPr>
                            </w:pPr>
                            <w:r w:rsidRPr="00033D51">
                              <w:rPr>
                                <w:rFonts w:ascii="Californian FB" w:hAnsi="Californian FB"/>
                                <w:b/>
                                <w:sz w:val="20"/>
                                <w:szCs w:val="20"/>
                              </w:rPr>
                              <w:t>F</w:t>
                            </w:r>
                            <w:r>
                              <w:rPr>
                                <w:rFonts w:ascii="Californian FB" w:hAnsi="Californian FB"/>
                                <w:b/>
                                <w:sz w:val="20"/>
                                <w:szCs w:val="20"/>
                              </w:rPr>
                              <w:t>OOD FOR THOUGHT</w:t>
                            </w:r>
                          </w:p>
                          <w:p w14:paraId="3426F574" w14:textId="097B397C" w:rsidR="00C747A6" w:rsidRPr="00033D51" w:rsidRDefault="00C747A6" w:rsidP="0083263B">
                            <w:pPr>
                              <w:spacing w:after="120"/>
                              <w:jc w:val="both"/>
                              <w:rPr>
                                <w:rFonts w:ascii="Californian FB" w:hAnsi="Californian FB"/>
                                <w:sz w:val="20"/>
                                <w:szCs w:val="20"/>
                              </w:rPr>
                            </w:pPr>
                            <w:r w:rsidRPr="00033D51">
                              <w:rPr>
                                <w:rFonts w:ascii="Californian FB" w:hAnsi="Californian FB"/>
                                <w:sz w:val="20"/>
                                <w:szCs w:val="20"/>
                              </w:rPr>
                              <w:t xml:space="preserve">On the same day that the District Court opinion in </w:t>
                            </w:r>
                            <w:r w:rsidRPr="00033D51">
                              <w:rPr>
                                <w:rFonts w:ascii="Californian FB" w:hAnsi="Californian FB"/>
                                <w:i/>
                                <w:sz w:val="20"/>
                                <w:szCs w:val="20"/>
                              </w:rPr>
                              <w:t xml:space="preserve">Goldman </w:t>
                            </w:r>
                            <w:r w:rsidRPr="00033D51">
                              <w:rPr>
                                <w:rFonts w:ascii="Californian FB" w:hAnsi="Californian FB"/>
                                <w:sz w:val="20"/>
                                <w:szCs w:val="20"/>
                              </w:rPr>
                              <w:t xml:space="preserve">was announced, February 15, 2018, Google announced that it was changing the way its Image Search works.  As you know from </w:t>
                            </w:r>
                            <w:r w:rsidRPr="00033D51">
                              <w:rPr>
                                <w:rFonts w:ascii="Californian FB" w:hAnsi="Californian FB"/>
                                <w:i/>
                                <w:sz w:val="20"/>
                                <w:szCs w:val="20"/>
                              </w:rPr>
                              <w:t>Perfect 10 v. Amazon</w:t>
                            </w:r>
                            <w:r w:rsidRPr="00033D51">
                              <w:rPr>
                                <w:rFonts w:ascii="Californian FB" w:hAnsi="Californian FB"/>
                                <w:sz w:val="20"/>
                                <w:szCs w:val="20"/>
                              </w:rPr>
                              <w:t xml:space="preserve"> (and probably from your own use) an image search initially returns thumbnail versions of images. Clicking on a </w:t>
                            </w:r>
                            <w:proofErr w:type="gramStart"/>
                            <w:r w:rsidRPr="00033D51">
                              <w:rPr>
                                <w:rFonts w:ascii="Californian FB" w:hAnsi="Californian FB"/>
                                <w:sz w:val="20"/>
                                <w:szCs w:val="20"/>
                              </w:rPr>
                              <w:t>thumbnail results</w:t>
                            </w:r>
                            <w:proofErr w:type="gramEnd"/>
                            <w:r w:rsidRPr="00033D51">
                              <w:rPr>
                                <w:rFonts w:ascii="Californian FB" w:hAnsi="Californian FB"/>
                                <w:sz w:val="20"/>
                                <w:szCs w:val="20"/>
                              </w:rPr>
                              <w:t xml:space="preserve"> in the display of a somewhat larger version of that photo, but still not full-size.  Until February 15, 2018, you could then click on a “View Image” button and see the full-size image, without the context of the website on which it originally appeared.  Google removed the “View Image” button.  Here’s the tweet in which it announced that change:</w:t>
                            </w:r>
                          </w:p>
                          <w:p w14:paraId="4B1B87EB" w14:textId="14B9F0A3" w:rsidR="00C747A6" w:rsidRPr="00033D51" w:rsidRDefault="00C747A6" w:rsidP="00720FFF">
                            <w:pPr>
                              <w:spacing w:after="120"/>
                              <w:rPr>
                                <w:rFonts w:ascii="Californian FB" w:hAnsi="Californian FB"/>
                                <w:sz w:val="20"/>
                                <w:szCs w:val="20"/>
                              </w:rPr>
                            </w:pPr>
                            <w:r w:rsidRPr="00033D51">
                              <w:rPr>
                                <w:rFonts w:ascii="Californian FB" w:hAnsi="Californian FB"/>
                                <w:noProof/>
                                <w:sz w:val="20"/>
                                <w:szCs w:val="20"/>
                              </w:rPr>
                              <w:drawing>
                                <wp:inline distT="0" distB="0" distL="0" distR="0" wp14:anchorId="09E73F2D" wp14:editId="0A30FF2C">
                                  <wp:extent cx="2837815" cy="1197610"/>
                                  <wp:effectExtent l="0" t="0" r="63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37815" cy="1197610"/>
                                          </a:xfrm>
                                          <a:prstGeom prst="rect">
                                            <a:avLst/>
                                          </a:prstGeom>
                                          <a:noFill/>
                                          <a:ln>
                                            <a:noFill/>
                                          </a:ln>
                                        </pic:spPr>
                                      </pic:pic>
                                    </a:graphicData>
                                  </a:graphic>
                                </wp:inline>
                              </w:drawing>
                            </w:r>
                          </w:p>
                          <w:p w14:paraId="3C5152CA" w14:textId="575367CE" w:rsidR="00C747A6" w:rsidRPr="00033D51" w:rsidRDefault="00C747A6" w:rsidP="00720FFF">
                            <w:pPr>
                              <w:spacing w:after="120"/>
                              <w:rPr>
                                <w:rFonts w:ascii="Californian FB" w:hAnsi="Californian FB"/>
                                <w:sz w:val="20"/>
                                <w:szCs w:val="20"/>
                              </w:rPr>
                            </w:pPr>
                            <w:r w:rsidRPr="00033D51">
                              <w:rPr>
                                <w:rFonts w:ascii="Californian FB" w:hAnsi="Californian FB"/>
                                <w:sz w:val="20"/>
                                <w:szCs w:val="20"/>
                              </w:rPr>
                              <w:t xml:space="preserve">Do you think that the </w:t>
                            </w:r>
                            <w:r w:rsidRPr="00033D51">
                              <w:rPr>
                                <w:rFonts w:ascii="Californian FB" w:hAnsi="Californian FB"/>
                                <w:i/>
                                <w:sz w:val="20"/>
                                <w:szCs w:val="20"/>
                              </w:rPr>
                              <w:t xml:space="preserve">Goldman </w:t>
                            </w:r>
                            <w:r w:rsidRPr="00033D51">
                              <w:rPr>
                                <w:rFonts w:ascii="Californian FB" w:hAnsi="Californian FB"/>
                                <w:sz w:val="20"/>
                                <w:szCs w:val="20"/>
                              </w:rPr>
                              <w:t>opinion seriously increased the risk that Google Image Search with a “View Image” button infringed the display right of the owners of copyright in the images?  Did removing the “View Image” button, but keeping the “Visit” button, remove that risk?</w:t>
                            </w:r>
                            <w:r w:rsidR="00AB7809">
                              <w:rPr>
                                <w:rFonts w:ascii="Californian FB" w:hAnsi="Californian FB"/>
                                <w:sz w:val="20"/>
                                <w:szCs w:val="20"/>
                              </w:rPr>
                              <w:t xml:space="preserve"> (All major browsers allow you to right-click on an image and display it out of context in a new window.  Is that a problem?)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712AC" id="_x0000_s1042" type="#_x0000_t202" style="position:absolute;left:0;text-align:left;margin-left:231.75pt;margin-top:323.6pt;width:238.85pt;height:39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" fillcolor="#b8cce4" stroked="f">
                <v:textbox>
                  <w:txbxContent>
                    <w:p w14:paraId="775D99C0" w14:textId="7B985EBD" w:rsidR="00C747A6" w:rsidRPr="00033D51" w:rsidRDefault="00C747A6" w:rsidP="00720FFF">
                      <w:pPr>
                        <w:spacing w:after="120"/>
                        <w:jc w:val="center"/>
                        <w:rPr>
                          <w:rFonts w:ascii="Californian FB" w:hAnsi="Californian FB"/>
                          <w:b/>
                          <w:sz w:val="20"/>
                          <w:szCs w:val="20"/>
                        </w:rPr>
                      </w:pPr>
                      <w:r w:rsidRPr="00033D51">
                        <w:rPr>
                          <w:rFonts w:ascii="Californian FB" w:hAnsi="Californian FB"/>
                          <w:b/>
                          <w:sz w:val="20"/>
                          <w:szCs w:val="20"/>
                        </w:rPr>
                        <w:t>F</w:t>
                      </w:r>
                      <w:r>
                        <w:rPr>
                          <w:rFonts w:ascii="Californian FB" w:hAnsi="Californian FB"/>
                          <w:b/>
                          <w:sz w:val="20"/>
                          <w:szCs w:val="20"/>
                        </w:rPr>
                        <w:t>OOD FOR THOUGHT</w:t>
                      </w:r>
                    </w:p>
                    <w:p w14:paraId="3426F574" w14:textId="097B397C" w:rsidR="00C747A6" w:rsidRPr="00033D51" w:rsidRDefault="00C747A6" w:rsidP="0083263B">
                      <w:pPr>
                        <w:spacing w:after="120"/>
                        <w:jc w:val="both"/>
                        <w:rPr>
                          <w:rFonts w:ascii="Californian FB" w:hAnsi="Californian FB"/>
                          <w:sz w:val="20"/>
                          <w:szCs w:val="20"/>
                        </w:rPr>
                      </w:pPr>
                      <w:r w:rsidRPr="00033D51">
                        <w:rPr>
                          <w:rFonts w:ascii="Californian FB" w:hAnsi="Californian FB"/>
                          <w:sz w:val="20"/>
                          <w:szCs w:val="20"/>
                        </w:rPr>
                        <w:t xml:space="preserve">On the same day that the District Court opinion in </w:t>
                      </w:r>
                      <w:r w:rsidRPr="00033D51">
                        <w:rPr>
                          <w:rFonts w:ascii="Californian FB" w:hAnsi="Californian FB"/>
                          <w:i/>
                          <w:sz w:val="20"/>
                          <w:szCs w:val="20"/>
                        </w:rPr>
                        <w:t xml:space="preserve">Goldman </w:t>
                      </w:r>
                      <w:r w:rsidRPr="00033D51">
                        <w:rPr>
                          <w:rFonts w:ascii="Californian FB" w:hAnsi="Californian FB"/>
                          <w:sz w:val="20"/>
                          <w:szCs w:val="20"/>
                        </w:rPr>
                        <w:t xml:space="preserve">was announced, February 15, 2018, Google announced that it was changing the way its Image Search works.  As you know from </w:t>
                      </w:r>
                      <w:r w:rsidRPr="00033D51">
                        <w:rPr>
                          <w:rFonts w:ascii="Californian FB" w:hAnsi="Californian FB"/>
                          <w:i/>
                          <w:sz w:val="20"/>
                          <w:szCs w:val="20"/>
                        </w:rPr>
                        <w:t>Perfect 10 v. Amazon</w:t>
                      </w:r>
                      <w:r w:rsidRPr="00033D51">
                        <w:rPr>
                          <w:rFonts w:ascii="Californian FB" w:hAnsi="Californian FB"/>
                          <w:sz w:val="20"/>
                          <w:szCs w:val="20"/>
                        </w:rPr>
                        <w:t xml:space="preserve"> (and probably from your own use) an image search initially returns thumbnail versions of images. Clicking on a </w:t>
                      </w:r>
                      <w:proofErr w:type="gramStart"/>
                      <w:r w:rsidRPr="00033D51">
                        <w:rPr>
                          <w:rFonts w:ascii="Californian FB" w:hAnsi="Californian FB"/>
                          <w:sz w:val="20"/>
                          <w:szCs w:val="20"/>
                        </w:rPr>
                        <w:t>thumbnail results</w:t>
                      </w:r>
                      <w:proofErr w:type="gramEnd"/>
                      <w:r w:rsidRPr="00033D51">
                        <w:rPr>
                          <w:rFonts w:ascii="Californian FB" w:hAnsi="Californian FB"/>
                          <w:sz w:val="20"/>
                          <w:szCs w:val="20"/>
                        </w:rPr>
                        <w:t xml:space="preserve"> in the display of a somewhat larger version of that photo, but still not full-size.  Until February 15, 2018, you could then click on a “View Image” button and see the full-size image, without the context of the website on which it originally appeared.  Google removed the “View Image” button.  Here’s the tweet in which it announced that change:</w:t>
                      </w:r>
                    </w:p>
                    <w:p w14:paraId="4B1B87EB" w14:textId="14B9F0A3" w:rsidR="00C747A6" w:rsidRPr="00033D51" w:rsidRDefault="00C747A6" w:rsidP="00720FFF">
                      <w:pPr>
                        <w:spacing w:after="120"/>
                        <w:rPr>
                          <w:rFonts w:ascii="Californian FB" w:hAnsi="Californian FB"/>
                          <w:sz w:val="20"/>
                          <w:szCs w:val="20"/>
                        </w:rPr>
                      </w:pPr>
                      <w:r w:rsidRPr="00033D51">
                        <w:rPr>
                          <w:rFonts w:ascii="Californian FB" w:hAnsi="Californian FB"/>
                          <w:noProof/>
                          <w:sz w:val="20"/>
                          <w:szCs w:val="20"/>
                        </w:rPr>
                        <w:drawing>
                          <wp:inline distT="0" distB="0" distL="0" distR="0" wp14:anchorId="09E73F2D" wp14:editId="0A30FF2C">
                            <wp:extent cx="2837815" cy="1197610"/>
                            <wp:effectExtent l="0" t="0" r="63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37815" cy="1197610"/>
                                    </a:xfrm>
                                    <a:prstGeom prst="rect">
                                      <a:avLst/>
                                    </a:prstGeom>
                                    <a:noFill/>
                                    <a:ln>
                                      <a:noFill/>
                                    </a:ln>
                                  </pic:spPr>
                                </pic:pic>
                              </a:graphicData>
                            </a:graphic>
                          </wp:inline>
                        </w:drawing>
                      </w:r>
                    </w:p>
                    <w:p w14:paraId="3C5152CA" w14:textId="575367CE" w:rsidR="00C747A6" w:rsidRPr="00033D51" w:rsidRDefault="00C747A6" w:rsidP="00720FFF">
                      <w:pPr>
                        <w:spacing w:after="120"/>
                        <w:rPr>
                          <w:rFonts w:ascii="Californian FB" w:hAnsi="Californian FB"/>
                          <w:sz w:val="20"/>
                          <w:szCs w:val="20"/>
                        </w:rPr>
                      </w:pPr>
                      <w:r w:rsidRPr="00033D51">
                        <w:rPr>
                          <w:rFonts w:ascii="Californian FB" w:hAnsi="Californian FB"/>
                          <w:sz w:val="20"/>
                          <w:szCs w:val="20"/>
                        </w:rPr>
                        <w:t xml:space="preserve">Do you think that the </w:t>
                      </w:r>
                      <w:r w:rsidRPr="00033D51">
                        <w:rPr>
                          <w:rFonts w:ascii="Californian FB" w:hAnsi="Californian FB"/>
                          <w:i/>
                          <w:sz w:val="20"/>
                          <w:szCs w:val="20"/>
                        </w:rPr>
                        <w:t xml:space="preserve">Goldman </w:t>
                      </w:r>
                      <w:r w:rsidRPr="00033D51">
                        <w:rPr>
                          <w:rFonts w:ascii="Californian FB" w:hAnsi="Californian FB"/>
                          <w:sz w:val="20"/>
                          <w:szCs w:val="20"/>
                        </w:rPr>
                        <w:t>opinion seriously increased the risk that Google Image Search with a “View Image” button infringed the display right of the owners of copyright in the images?  Did removing the “View Image” button, but keeping the “Visit” button, remove that risk?</w:t>
                      </w:r>
                      <w:r w:rsidR="00AB7809">
                        <w:rPr>
                          <w:rFonts w:ascii="Californian FB" w:hAnsi="Californian FB"/>
                          <w:sz w:val="20"/>
                          <w:szCs w:val="20"/>
                        </w:rPr>
                        <w:t xml:space="preserve"> (All major browsers allow you to right-click on an image and display it out of context in a new window.  Is that a problem?)</w:t>
                      </w:r>
                    </w:p>
                  </w:txbxContent>
                </v:textbox>
                <w10:wrap type="square" anchory="page"/>
              </v:shape>
            </w:pict>
          </mc:Fallback>
        </mc:AlternateContent>
      </w:r>
      <w:r w:rsidR="008431B9">
        <w:rPr>
          <w:rFonts w:ascii="Californian FB" w:eastAsia="Times New Roman" w:hAnsi="Californian FB" w:cstheme="minorHAnsi"/>
          <w:i/>
          <w:sz w:val="24"/>
          <w:szCs w:val="24"/>
        </w:rPr>
        <w:t xml:space="preserve">Perfect 10 </w:t>
      </w:r>
      <w:r w:rsidR="008431B9">
        <w:rPr>
          <w:rFonts w:ascii="Californian FB" w:eastAsia="Times New Roman" w:hAnsi="Californian FB" w:cstheme="minorHAnsi"/>
          <w:sz w:val="24"/>
          <w:szCs w:val="24"/>
        </w:rPr>
        <w:t>case.</w:t>
      </w:r>
    </w:p>
    <w:p w14:paraId="39D89DBA" w14:textId="1FCB2EB3" w:rsidR="003E234C" w:rsidRDefault="007517F0" w:rsidP="00ED6BE0">
      <w:pPr>
        <w:shd w:val="clear" w:color="auto" w:fill="FFFFFF"/>
        <w:ind w:left="360" w:firstLine="360"/>
        <w:jc w:val="both"/>
        <w:rPr>
          <w:rFonts w:ascii="Californian FB" w:hAnsi="Californian FB" w:cs="Times New Roman"/>
          <w:color w:val="000000"/>
          <w:sz w:val="24"/>
          <w:szCs w:val="24"/>
        </w:rPr>
      </w:pPr>
      <w:r>
        <w:rPr>
          <w:rFonts w:ascii="Californian FB" w:eastAsia="Times New Roman" w:hAnsi="Californian FB" w:cstheme="minorHAnsi"/>
          <w:sz w:val="24"/>
          <w:szCs w:val="24"/>
        </w:rPr>
        <w:t xml:space="preserve">Judge </w:t>
      </w:r>
      <w:r w:rsidR="003E234C">
        <w:rPr>
          <w:rFonts w:ascii="Californian FB" w:eastAsia="Times New Roman" w:hAnsi="Californian FB" w:cstheme="minorHAnsi"/>
          <w:sz w:val="24"/>
          <w:szCs w:val="24"/>
        </w:rPr>
        <w:t xml:space="preserve">Katherine </w:t>
      </w:r>
      <w:r>
        <w:rPr>
          <w:rFonts w:ascii="Californian FB" w:eastAsia="Times New Roman" w:hAnsi="Californian FB" w:cstheme="minorHAnsi"/>
          <w:sz w:val="24"/>
          <w:szCs w:val="24"/>
        </w:rPr>
        <w:t>Forrest, however, rejected a “server test” that would have resulted in a ruling for the defendants.  She noted that the definition of “display” in the Copyright Act – “</w:t>
      </w:r>
      <w:r w:rsidRPr="007517F0">
        <w:rPr>
          <w:rFonts w:ascii="Californian FB" w:eastAsia="Times New Roman" w:hAnsi="Californian FB" w:cstheme="minorHAnsi"/>
          <w:sz w:val="24"/>
          <w:szCs w:val="24"/>
        </w:rPr>
        <w:t>to transmit .</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 a .</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 display of the work .</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w:t>
      </w:r>
      <w:r>
        <w:rPr>
          <w:rFonts w:ascii="Californian FB" w:eastAsia="Times New Roman" w:hAnsi="Californian FB" w:cstheme="minorHAnsi"/>
          <w:sz w:val="24"/>
          <w:szCs w:val="24"/>
        </w:rPr>
        <w:t xml:space="preserve"> </w:t>
      </w:r>
      <w:r w:rsidRPr="007517F0">
        <w:rPr>
          <w:rFonts w:ascii="Californian FB" w:eastAsia="Times New Roman" w:hAnsi="Californian FB" w:cstheme="minorHAnsi"/>
          <w:sz w:val="24"/>
          <w:szCs w:val="24"/>
        </w:rPr>
        <w:t>. by means of any device or process”</w:t>
      </w:r>
      <w:r>
        <w:rPr>
          <w:rFonts w:ascii="Californian FB" w:eastAsia="Times New Roman" w:hAnsi="Californian FB" w:cstheme="minorHAnsi"/>
          <w:sz w:val="24"/>
          <w:szCs w:val="24"/>
        </w:rPr>
        <w:t xml:space="preserve"> – does not include any requirement of possession of a copy of a work. The defendants all took “</w:t>
      </w:r>
      <w:r w:rsidRPr="007517F0">
        <w:rPr>
          <w:rFonts w:ascii="Californian FB" w:eastAsia="Times New Roman" w:hAnsi="Californian FB" w:cstheme="minorHAnsi"/>
          <w:sz w:val="24"/>
          <w:szCs w:val="24"/>
        </w:rPr>
        <w:t>took active steps to put a process in place that resulted in a transmission of the photos so t</w:t>
      </w:r>
      <w:r>
        <w:rPr>
          <w:rFonts w:ascii="Californian FB" w:eastAsia="Times New Roman" w:hAnsi="Californian FB" w:cstheme="minorHAnsi"/>
          <w:sz w:val="24"/>
          <w:szCs w:val="24"/>
        </w:rPr>
        <w:t xml:space="preserve">hat they could be visibly shown,” most often by writing the code that would pull the photo from a Tweet and place it in the middle of their webpages. </w:t>
      </w:r>
      <w:r w:rsidR="00CC758B">
        <w:rPr>
          <w:rFonts w:ascii="Californian FB" w:eastAsia="Times New Roman" w:hAnsi="Californian FB" w:cstheme="minorHAnsi"/>
          <w:sz w:val="24"/>
          <w:szCs w:val="24"/>
        </w:rPr>
        <w:t xml:space="preserve">Thus, they were involved in “transmitting a display” of Goldman’s photo whether or not that photo was stored on their servers. Judge Forrest also argued that the Supreme Court’s opinion in the </w:t>
      </w:r>
      <w:proofErr w:type="spellStart"/>
      <w:r w:rsidR="00CC758B">
        <w:rPr>
          <w:rFonts w:ascii="Californian FB" w:eastAsia="Times New Roman" w:hAnsi="Californian FB" w:cstheme="minorHAnsi"/>
          <w:i/>
          <w:sz w:val="24"/>
          <w:szCs w:val="24"/>
        </w:rPr>
        <w:t>Aereo</w:t>
      </w:r>
      <w:proofErr w:type="spellEnd"/>
      <w:r w:rsidR="00CC758B">
        <w:rPr>
          <w:rFonts w:ascii="Californian FB" w:eastAsia="Times New Roman" w:hAnsi="Californian FB" w:cstheme="minorHAnsi"/>
          <w:i/>
          <w:sz w:val="24"/>
          <w:szCs w:val="24"/>
        </w:rPr>
        <w:t xml:space="preserve"> </w:t>
      </w:r>
      <w:r w:rsidR="00CC758B">
        <w:rPr>
          <w:rFonts w:ascii="Californian FB" w:eastAsia="Times New Roman" w:hAnsi="Californian FB" w:cstheme="minorHAnsi"/>
          <w:sz w:val="24"/>
          <w:szCs w:val="24"/>
        </w:rPr>
        <w:t xml:space="preserve">case, excerpted in the main volume of the casebook on p. 909, supported the plaintiffs, because it refused to draw distinctions based on “invisible technological details” and instead focused on the functionality of the service from a user’s point of view. Here, a visitor to the defendants’ websites typically would not know or care where Goldman’s photo was stored. Finally, although Forrest clearly doubts that </w:t>
      </w:r>
      <w:r w:rsidR="00CC758B">
        <w:rPr>
          <w:rFonts w:ascii="Californian FB" w:eastAsia="Times New Roman" w:hAnsi="Californian FB" w:cstheme="minorHAnsi"/>
          <w:i/>
          <w:sz w:val="24"/>
          <w:szCs w:val="24"/>
        </w:rPr>
        <w:t xml:space="preserve">Perfect 10 </w:t>
      </w:r>
      <w:r w:rsidR="00CC758B">
        <w:rPr>
          <w:rFonts w:ascii="Californian FB" w:eastAsia="Times New Roman" w:hAnsi="Californian FB" w:cstheme="minorHAnsi"/>
          <w:sz w:val="24"/>
          <w:szCs w:val="24"/>
        </w:rPr>
        <w:t xml:space="preserve">was correctly decided, she also distinguished the facts in </w:t>
      </w:r>
      <w:r w:rsidR="00CC758B">
        <w:rPr>
          <w:rFonts w:ascii="Californian FB" w:eastAsia="Times New Roman" w:hAnsi="Californian FB" w:cstheme="minorHAnsi"/>
          <w:i/>
          <w:sz w:val="24"/>
          <w:szCs w:val="24"/>
        </w:rPr>
        <w:t xml:space="preserve">Goldman </w:t>
      </w:r>
      <w:r w:rsidR="00CC758B">
        <w:rPr>
          <w:rFonts w:ascii="Californian FB" w:eastAsia="Times New Roman" w:hAnsi="Californian FB" w:cstheme="minorHAnsi"/>
          <w:sz w:val="24"/>
          <w:szCs w:val="24"/>
        </w:rPr>
        <w:t xml:space="preserve">from those in </w:t>
      </w:r>
      <w:r w:rsidR="00CC758B">
        <w:rPr>
          <w:rFonts w:ascii="Californian FB" w:eastAsia="Times New Roman" w:hAnsi="Californian FB" w:cstheme="minorHAnsi"/>
          <w:i/>
          <w:sz w:val="24"/>
          <w:szCs w:val="24"/>
        </w:rPr>
        <w:t xml:space="preserve">Perfect 10. </w:t>
      </w:r>
      <w:r w:rsidR="00CC758B">
        <w:rPr>
          <w:rFonts w:ascii="Californian FB" w:eastAsia="Times New Roman" w:hAnsi="Californian FB" w:cstheme="minorHAnsi"/>
          <w:sz w:val="24"/>
          <w:szCs w:val="24"/>
        </w:rPr>
        <w:t xml:space="preserve"> </w:t>
      </w:r>
      <w:r w:rsidR="00CC758B">
        <w:rPr>
          <w:rFonts w:ascii="Californian FB" w:eastAsia="Times New Roman" w:hAnsi="Californian FB" w:cstheme="minorHAnsi"/>
          <w:i/>
          <w:sz w:val="24"/>
          <w:szCs w:val="24"/>
        </w:rPr>
        <w:t xml:space="preserve">Perfect 10 </w:t>
      </w:r>
      <w:r w:rsidR="00CC758B">
        <w:rPr>
          <w:rFonts w:ascii="Californian FB" w:eastAsia="Times New Roman" w:hAnsi="Californian FB" w:cstheme="minorHAnsi"/>
          <w:sz w:val="24"/>
          <w:szCs w:val="24"/>
        </w:rPr>
        <w:t xml:space="preserve">involved display of photos by a search engine that was assisting the user to find and navigate to webpages, and the full-size photo was visible to the user only if the user took the affirmative act of clicking on </w:t>
      </w:r>
      <w:r w:rsidR="00CC758B">
        <w:rPr>
          <w:rFonts w:ascii="Californian FB" w:eastAsia="Times New Roman" w:hAnsi="Californian FB" w:cstheme="minorHAnsi"/>
          <w:sz w:val="24"/>
          <w:szCs w:val="24"/>
        </w:rPr>
        <w:lastRenderedPageBreak/>
        <w:t xml:space="preserve">the thumbnail. </w:t>
      </w:r>
      <w:r w:rsidR="00CC758B" w:rsidRPr="00CC758B">
        <w:rPr>
          <w:rFonts w:ascii="Californian FB" w:eastAsia="Times New Roman" w:hAnsi="Californian FB" w:cstheme="minorHAnsi"/>
          <w:sz w:val="24"/>
          <w:szCs w:val="24"/>
        </w:rPr>
        <w:t>“</w:t>
      </w:r>
      <w:r w:rsidR="00CC758B" w:rsidRPr="00CC758B">
        <w:rPr>
          <w:rFonts w:ascii="Californian FB" w:hAnsi="Californian FB" w:cs="Times New Roman"/>
          <w:color w:val="000000"/>
          <w:sz w:val="24"/>
          <w:szCs w:val="24"/>
        </w:rPr>
        <w:t>This is manifestly not the same as opening up a favorite blog or website to find a full color image awaiting the user, whether he or she asked for it, looked for it, clicked on it, or not</w:t>
      </w:r>
      <w:r w:rsidR="00CC758B">
        <w:rPr>
          <w:rFonts w:ascii="Californian FB" w:hAnsi="Californian FB" w:cs="Times New Roman"/>
          <w:color w:val="000000"/>
          <w:sz w:val="24"/>
          <w:szCs w:val="24"/>
        </w:rPr>
        <w:t xml:space="preserve">.” </w:t>
      </w:r>
      <w:r w:rsidR="00CC758B">
        <w:rPr>
          <w:rFonts w:ascii="Californian FB" w:hAnsi="Californian FB" w:cs="Times New Roman"/>
          <w:i/>
          <w:color w:val="000000"/>
          <w:sz w:val="24"/>
          <w:szCs w:val="24"/>
        </w:rPr>
        <w:t>Goldman</w:t>
      </w:r>
      <w:r w:rsidR="00CC758B">
        <w:rPr>
          <w:rFonts w:ascii="Californian FB" w:hAnsi="Californian FB" w:cs="Times New Roman"/>
          <w:color w:val="000000"/>
          <w:sz w:val="24"/>
          <w:szCs w:val="24"/>
        </w:rPr>
        <w:t>, 302 F.Supp.3d at 596.</w:t>
      </w:r>
    </w:p>
    <w:p w14:paraId="7B0A0DF7" w14:textId="2D2A67B6" w:rsidR="003E234C" w:rsidRDefault="001E3E99" w:rsidP="00BD5498">
      <w:pPr>
        <w:shd w:val="clear" w:color="auto" w:fill="FFFFFF"/>
        <w:ind w:left="360" w:firstLine="360"/>
        <w:jc w:val="both"/>
        <w:rPr>
          <w:rFonts w:ascii="Californian FB" w:hAnsi="Californian FB" w:cs="Times New Roman"/>
          <w:color w:val="000000"/>
          <w:sz w:val="24"/>
          <w:szCs w:val="24"/>
        </w:rPr>
      </w:pPr>
      <w:r w:rsidRPr="003D7E14">
        <w:rPr>
          <w:rFonts w:ascii="Californian FB" w:hAnsi="Californian FB"/>
          <w:noProof/>
          <w:color w:val="000000"/>
          <w:sz w:val="24"/>
          <w:szCs w:val="24"/>
        </w:rPr>
        <mc:AlternateContent>
          <mc:Choice Requires="wps">
            <w:drawing>
              <wp:anchor distT="0" distB="0" distL="114300" distR="114300" simplePos="0" relativeHeight="251732992" behindDoc="0" locked="0" layoutInCell="1" allowOverlap="1" wp14:anchorId="44C4EA25" wp14:editId="31674B99">
                <wp:simplePos x="0" y="0"/>
                <wp:positionH relativeFrom="column">
                  <wp:posOffset>4252912</wp:posOffset>
                </wp:positionH>
                <wp:positionV relativeFrom="paragraph">
                  <wp:posOffset>590868</wp:posOffset>
                </wp:positionV>
                <wp:extent cx="1707515" cy="891540"/>
                <wp:effectExtent l="0" t="0" r="6985" b="0"/>
                <wp:wrapSquare wrapText="bothSides"/>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91540"/>
                        </a:xfrm>
                        <a:prstGeom prst="rect">
                          <a:avLst/>
                        </a:prstGeom>
                        <a:solidFill>
                          <a:srgbClr val="B8CCE4"/>
                        </a:solidFill>
                        <a:ln w="9525">
                          <a:noFill/>
                          <a:miter lim="800000"/>
                          <a:headEnd/>
                          <a:tailEnd/>
                        </a:ln>
                      </wps:spPr>
                      <wps:txbx>
                        <w:txbxContent>
                          <w:p w14:paraId="5C776A27" w14:textId="77777777" w:rsidR="001E3E99" w:rsidRDefault="001E3E99" w:rsidP="001E3E99">
                            <w:pPr>
                              <w:spacing w:after="120"/>
                              <w:jc w:val="center"/>
                              <w:rPr>
                                <w:rFonts w:ascii="Californian FB" w:hAnsi="Californian FB"/>
                                <w:b/>
                                <w:sz w:val="20"/>
                                <w:szCs w:val="20"/>
                              </w:rPr>
                            </w:pPr>
                            <w:r>
                              <w:rPr>
                                <w:rFonts w:ascii="Californian FB" w:hAnsi="Californian FB"/>
                                <w:b/>
                                <w:sz w:val="20"/>
                                <w:szCs w:val="20"/>
                              </w:rPr>
                              <w:t>SEE IT</w:t>
                            </w:r>
                          </w:p>
                          <w:p w14:paraId="6C303DE5" w14:textId="2EA402F8" w:rsidR="001E3E99" w:rsidRPr="00033D51" w:rsidRDefault="005378DD" w:rsidP="001E3E99">
                            <w:pPr>
                              <w:spacing w:after="120"/>
                              <w:jc w:val="both"/>
                              <w:rPr>
                                <w:rFonts w:ascii="Californian FB" w:hAnsi="Californian FB"/>
                                <w:sz w:val="20"/>
                                <w:szCs w:val="20"/>
                              </w:rPr>
                            </w:pPr>
                            <w:r>
                              <w:rPr>
                                <w:rFonts w:ascii="Californian FB" w:hAnsi="Californian FB"/>
                                <w:sz w:val="20"/>
                                <w:szCs w:val="20"/>
                              </w:rPr>
                              <w:t xml:space="preserve">Paul Nicklen co-founded a conservationist photography organization called Sea Legacy.  To see the video of the starving polar bear as posted on the website of that organization, </w:t>
                            </w:r>
                            <w:hyperlink r:id="rId282" w:history="1">
                              <w:r w:rsidRPr="005378DD">
                                <w:rPr>
                                  <w:rStyle w:val="Hyperlink"/>
                                  <w:rFonts w:ascii="Californian FB" w:hAnsi="Californian FB"/>
                                  <w:sz w:val="20"/>
                                  <w:szCs w:val="20"/>
                                </w:rPr>
                                <w:t>click here</w:t>
                              </w:r>
                            </w:hyperlink>
                            <w:r>
                              <w:rPr>
                                <w:rFonts w:ascii="Californian FB" w:hAnsi="Californian FB"/>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4EA25" id="_x0000_s1043" type="#_x0000_t202" style="position:absolute;left:0;text-align:left;margin-left:334.85pt;margin-top:46.55pt;width:134.45pt;height:70.2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" fillcolor="#b8cce4" stroked="f">
                <v:textbox style="mso-fit-shape-to-text:t">
                  <w:txbxContent>
                    <w:p w14:paraId="5C776A27" w14:textId="77777777" w:rsidR="001E3E99" w:rsidRDefault="001E3E99" w:rsidP="001E3E99">
                      <w:pPr>
                        <w:spacing w:after="120"/>
                        <w:jc w:val="center"/>
                        <w:rPr>
                          <w:rFonts w:ascii="Californian FB" w:hAnsi="Californian FB"/>
                          <w:b/>
                          <w:sz w:val="20"/>
                          <w:szCs w:val="20"/>
                        </w:rPr>
                      </w:pPr>
                      <w:r>
                        <w:rPr>
                          <w:rFonts w:ascii="Californian FB" w:hAnsi="Californian FB"/>
                          <w:b/>
                          <w:sz w:val="20"/>
                          <w:szCs w:val="20"/>
                        </w:rPr>
                        <w:t>SEE IT</w:t>
                      </w:r>
                    </w:p>
                    <w:p w14:paraId="6C303DE5" w14:textId="2EA402F8" w:rsidR="001E3E99" w:rsidRPr="00033D51" w:rsidRDefault="005378DD" w:rsidP="001E3E99">
                      <w:pPr>
                        <w:spacing w:after="120"/>
                        <w:jc w:val="both"/>
                        <w:rPr>
                          <w:rFonts w:ascii="Californian FB" w:hAnsi="Californian FB"/>
                          <w:sz w:val="20"/>
                          <w:szCs w:val="20"/>
                        </w:rPr>
                      </w:pPr>
                      <w:r>
                        <w:rPr>
                          <w:rFonts w:ascii="Californian FB" w:hAnsi="Californian FB"/>
                          <w:sz w:val="20"/>
                          <w:szCs w:val="20"/>
                        </w:rPr>
                        <w:t xml:space="preserve">Paul Nicklen co-founded a conservationist photography organization called Sea Legacy.  To see the video of the starving polar bear as posted on the website of that organization, </w:t>
                      </w:r>
                      <w:hyperlink r:id="rId283" w:history="1">
                        <w:r w:rsidRPr="005378DD">
                          <w:rPr>
                            <w:rStyle w:val="Hyperlink"/>
                            <w:rFonts w:ascii="Californian FB" w:hAnsi="Californian FB"/>
                            <w:sz w:val="20"/>
                            <w:szCs w:val="20"/>
                          </w:rPr>
                          <w:t>click here</w:t>
                        </w:r>
                      </w:hyperlink>
                      <w:r>
                        <w:rPr>
                          <w:rFonts w:ascii="Californian FB" w:hAnsi="Californian FB"/>
                          <w:sz w:val="20"/>
                          <w:szCs w:val="20"/>
                        </w:rPr>
                        <w:t xml:space="preserve">.  </w:t>
                      </w:r>
                    </w:p>
                  </w:txbxContent>
                </v:textbox>
                <w10:wrap type="square"/>
              </v:shape>
            </w:pict>
          </mc:Fallback>
        </mc:AlternateContent>
      </w:r>
      <w:r w:rsidR="00372ED7">
        <w:rPr>
          <w:rFonts w:ascii="Californian FB" w:hAnsi="Californian FB" w:cs="Times New Roman"/>
          <w:color w:val="000000"/>
          <w:sz w:val="24"/>
          <w:szCs w:val="24"/>
        </w:rPr>
        <w:t xml:space="preserve">In July 2021, Judge Jed Rakoff, also of the Southern District of New York, decided to follow Judge Forrest in rejecting the “server rule.”  In </w:t>
      </w:r>
      <w:hyperlink r:id="rId284" w:history="1">
        <w:r w:rsidR="00372ED7" w:rsidRPr="00372ED7">
          <w:rPr>
            <w:rStyle w:val="Hyperlink"/>
            <w:rFonts w:ascii="Californian FB" w:hAnsi="Californian FB" w:cs="Times New Roman"/>
            <w:sz w:val="24"/>
            <w:szCs w:val="24"/>
          </w:rPr>
          <w:t>Nicklen v. Sinclair Broadcast Group, Inc. 2021 WL 3239510 (S.D.N.Y.)</w:t>
        </w:r>
      </w:hyperlink>
      <w:r w:rsidR="00372ED7">
        <w:rPr>
          <w:rFonts w:ascii="Californian FB" w:hAnsi="Californian FB" w:cs="Times New Roman"/>
          <w:color w:val="000000"/>
          <w:sz w:val="24"/>
          <w:szCs w:val="24"/>
        </w:rPr>
        <w:t xml:space="preserve">, </w:t>
      </w:r>
      <w:r>
        <w:rPr>
          <w:rFonts w:ascii="Californian FB" w:hAnsi="Californian FB" w:cs="Times New Roman"/>
          <w:color w:val="000000"/>
          <w:sz w:val="24"/>
          <w:szCs w:val="24"/>
        </w:rPr>
        <w:t xml:space="preserve">Canadian photographer </w:t>
      </w:r>
      <w:r w:rsidR="00372ED7">
        <w:rPr>
          <w:rFonts w:ascii="Californian FB" w:hAnsi="Californian FB" w:cs="Times New Roman"/>
          <w:color w:val="000000"/>
          <w:sz w:val="24"/>
          <w:szCs w:val="24"/>
        </w:rPr>
        <w:t xml:space="preserve">Paul Nicklen made a video of a starving polar bear and posted it on his Instagram account.  The defendant Sinclair Broadcast Group embedded that video in online articles without Nicklen’s permission, and Nicklen sued for copyright infringement. Judge Rakoff denied Sinclair’s motion to dismiss.  </w:t>
      </w:r>
      <w:r w:rsidR="00BD5498">
        <w:rPr>
          <w:rFonts w:ascii="Californian FB" w:hAnsi="Californian FB" w:cs="Times New Roman"/>
          <w:color w:val="000000"/>
          <w:sz w:val="24"/>
          <w:szCs w:val="24"/>
        </w:rPr>
        <w:t>He concluded that “[t]</w:t>
      </w:r>
      <w:r w:rsidR="00BD5498" w:rsidRPr="00BD5498">
        <w:rPr>
          <w:rFonts w:ascii="Californian FB" w:hAnsi="Californian FB" w:cs="Times New Roman"/>
          <w:color w:val="000000"/>
          <w:sz w:val="24"/>
          <w:szCs w:val="24"/>
        </w:rPr>
        <w:t xml:space="preserve">he Copyright Act’s text and history establish that embedding a video on a website </w:t>
      </w:r>
      <w:r w:rsidR="00BD5498">
        <w:rPr>
          <w:rFonts w:ascii="Californian FB" w:hAnsi="Californian FB" w:cs="Times New Roman"/>
          <w:color w:val="000000"/>
          <w:sz w:val="24"/>
          <w:szCs w:val="24"/>
        </w:rPr>
        <w:t>‘</w:t>
      </w:r>
      <w:r w:rsidR="00BD5498" w:rsidRPr="00BD5498">
        <w:rPr>
          <w:rFonts w:ascii="Californian FB" w:hAnsi="Californian FB" w:cs="Times New Roman"/>
          <w:color w:val="000000"/>
          <w:sz w:val="24"/>
          <w:szCs w:val="24"/>
        </w:rPr>
        <w:t>displays</w:t>
      </w:r>
      <w:r w:rsidR="00BD5498">
        <w:rPr>
          <w:rFonts w:ascii="Californian FB" w:hAnsi="Californian FB" w:cs="Times New Roman"/>
          <w:color w:val="000000"/>
          <w:sz w:val="24"/>
          <w:szCs w:val="24"/>
        </w:rPr>
        <w:t>’</w:t>
      </w:r>
      <w:r w:rsidR="00BD5498" w:rsidRPr="00BD5498">
        <w:rPr>
          <w:rFonts w:ascii="Californian FB" w:hAnsi="Californian FB" w:cs="Times New Roman"/>
          <w:color w:val="000000"/>
          <w:sz w:val="24"/>
          <w:szCs w:val="24"/>
        </w:rPr>
        <w:t xml:space="preserve"> that video, because to embed a video is to show the video or individual images of the video </w:t>
      </w:r>
      <w:proofErr w:type="spellStart"/>
      <w:r w:rsidR="00BD5498" w:rsidRPr="00BD5498">
        <w:rPr>
          <w:rFonts w:ascii="Californian FB" w:hAnsi="Californian FB" w:cs="Times New Roman"/>
          <w:color w:val="000000"/>
          <w:sz w:val="24"/>
          <w:szCs w:val="24"/>
        </w:rPr>
        <w:t>nonsequentially</w:t>
      </w:r>
      <w:proofErr w:type="spellEnd"/>
      <w:r w:rsidR="00BD5498" w:rsidRPr="00BD5498">
        <w:rPr>
          <w:rFonts w:ascii="Californian FB" w:hAnsi="Californian FB" w:cs="Times New Roman"/>
          <w:color w:val="000000"/>
          <w:sz w:val="24"/>
          <w:szCs w:val="24"/>
        </w:rPr>
        <w:t xml:space="preserve"> by means of a device or process</w:t>
      </w:r>
      <w:r w:rsidR="00BD5498">
        <w:rPr>
          <w:rFonts w:ascii="Californian FB" w:hAnsi="Californian FB" w:cs="Times New Roman"/>
          <w:color w:val="000000"/>
          <w:sz w:val="24"/>
          <w:szCs w:val="24"/>
        </w:rPr>
        <w:t>.” Judge Rakoff acknowledged that “[p]</w:t>
      </w:r>
      <w:proofErr w:type="spellStart"/>
      <w:r w:rsidR="00BD5498" w:rsidRPr="00BD5498">
        <w:rPr>
          <w:rFonts w:ascii="Californian FB" w:hAnsi="Californian FB" w:cs="Times New Roman"/>
          <w:color w:val="000000"/>
          <w:sz w:val="24"/>
          <w:szCs w:val="24"/>
        </w:rPr>
        <w:t>roponents</w:t>
      </w:r>
      <w:proofErr w:type="spellEnd"/>
      <w:r w:rsidR="00BD5498" w:rsidRPr="00BD5498">
        <w:rPr>
          <w:rFonts w:ascii="Californian FB" w:hAnsi="Californian FB" w:cs="Times New Roman"/>
          <w:color w:val="000000"/>
          <w:sz w:val="24"/>
          <w:szCs w:val="24"/>
        </w:rPr>
        <w:t xml:space="preserve"> of the server rule suggest that a contrary rule would impose far-reaching and ruinous liability, supposedly grinding the internet to a halt.</w:t>
      </w:r>
      <w:r w:rsidR="00BD5498">
        <w:rPr>
          <w:rFonts w:ascii="Californian FB" w:hAnsi="Californian FB" w:cs="Times New Roman"/>
          <w:color w:val="000000"/>
          <w:sz w:val="24"/>
          <w:szCs w:val="24"/>
        </w:rPr>
        <w:t xml:space="preserve">”  However, he concluded, those were just speculations, and </w:t>
      </w:r>
      <w:r w:rsidR="00BD5498" w:rsidRPr="00BD5498">
        <w:rPr>
          <w:rFonts w:ascii="Californian FB" w:hAnsi="Californian FB" w:cs="Times New Roman"/>
          <w:color w:val="000000"/>
          <w:sz w:val="24"/>
          <w:szCs w:val="24"/>
        </w:rPr>
        <w:t>the alternative provided by the server rule is no more palatable</w:t>
      </w:r>
      <w:r w:rsidR="00BD5498">
        <w:rPr>
          <w:rFonts w:ascii="Californian FB" w:hAnsi="Californian FB" w:cs="Times New Roman"/>
          <w:color w:val="000000"/>
          <w:sz w:val="24"/>
          <w:szCs w:val="24"/>
        </w:rPr>
        <w:t>, because under that rule, “</w:t>
      </w:r>
      <w:r w:rsidR="00BD5498" w:rsidRPr="00BD5498">
        <w:rPr>
          <w:rFonts w:ascii="Californian FB" w:hAnsi="Californian FB" w:cs="Times New Roman"/>
          <w:color w:val="000000"/>
          <w:sz w:val="24"/>
          <w:szCs w:val="24"/>
        </w:rPr>
        <w:t>a photographer who promotes his work on Instagram or a filmmaker who posts her short film on YouTube surrenders control over how, when, and by whom their work is subsequently shown</w:t>
      </w:r>
      <w:r w:rsidR="00BD5498">
        <w:rPr>
          <w:rFonts w:ascii="Californian FB" w:hAnsi="Californian FB" w:cs="Times New Roman"/>
          <w:color w:val="000000"/>
          <w:sz w:val="24"/>
          <w:szCs w:val="24"/>
        </w:rPr>
        <w:t xml:space="preserve"> –</w:t>
      </w:r>
      <w:r w:rsidR="00BD5498" w:rsidRPr="00BD5498">
        <w:rPr>
          <w:rFonts w:ascii="Californian FB" w:hAnsi="Californian FB" w:cs="Times New Roman"/>
          <w:color w:val="000000"/>
          <w:sz w:val="24"/>
          <w:szCs w:val="24"/>
        </w:rPr>
        <w:t xml:space="preserve"> reducing the display right, effectively, to the limited right of first publication that the Copyright Act of 1976 rejects.</w:t>
      </w:r>
      <w:r w:rsidR="00BD5498">
        <w:rPr>
          <w:rFonts w:ascii="Californian FB" w:hAnsi="Californian FB" w:cs="Times New Roman"/>
          <w:color w:val="000000"/>
          <w:sz w:val="24"/>
          <w:szCs w:val="24"/>
        </w:rPr>
        <w:t>”</w:t>
      </w:r>
    </w:p>
    <w:p w14:paraId="4B33E903" w14:textId="770F5153" w:rsidR="001B6363" w:rsidRDefault="00BD5498" w:rsidP="00BD5498">
      <w:pPr>
        <w:shd w:val="clear" w:color="auto" w:fill="FFFFFF"/>
        <w:ind w:left="360"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Isn’t t</w:t>
      </w:r>
      <w:r w:rsidR="001B6363">
        <w:rPr>
          <w:rFonts w:ascii="Californian FB" w:hAnsi="Californian FB" w:cs="Times New Roman"/>
          <w:color w:val="000000"/>
          <w:sz w:val="24"/>
          <w:szCs w:val="24"/>
        </w:rPr>
        <w:t xml:space="preserve">he </w:t>
      </w:r>
      <w:r>
        <w:rPr>
          <w:rFonts w:ascii="Californian FB" w:hAnsi="Californian FB" w:cs="Times New Roman"/>
          <w:color w:val="000000"/>
          <w:sz w:val="24"/>
          <w:szCs w:val="24"/>
        </w:rPr>
        <w:t xml:space="preserve">real </w:t>
      </w:r>
      <w:r w:rsidR="001B6363">
        <w:rPr>
          <w:rFonts w:ascii="Californian FB" w:hAnsi="Californian FB" w:cs="Times New Roman"/>
          <w:color w:val="000000"/>
          <w:sz w:val="24"/>
          <w:szCs w:val="24"/>
        </w:rPr>
        <w:t xml:space="preserve">complaint of Goldman </w:t>
      </w:r>
      <w:r>
        <w:rPr>
          <w:rFonts w:ascii="Californian FB" w:hAnsi="Californian FB" w:cs="Times New Roman"/>
          <w:color w:val="000000"/>
          <w:sz w:val="24"/>
          <w:szCs w:val="24"/>
        </w:rPr>
        <w:t>and Nicklen</w:t>
      </w:r>
      <w:r w:rsidR="001B6363">
        <w:rPr>
          <w:rFonts w:ascii="Californian FB" w:hAnsi="Californian FB" w:cs="Times New Roman"/>
          <w:color w:val="000000"/>
          <w:sz w:val="24"/>
          <w:szCs w:val="24"/>
        </w:rPr>
        <w:t xml:space="preserve"> that “embedders” are removing the</w:t>
      </w:r>
      <w:r w:rsidR="001E3E99">
        <w:rPr>
          <w:rFonts w:ascii="Californian FB" w:hAnsi="Californian FB" w:cs="Times New Roman"/>
          <w:color w:val="000000"/>
          <w:sz w:val="24"/>
          <w:szCs w:val="24"/>
        </w:rPr>
        <w:t xml:space="preserve">ir content from </w:t>
      </w:r>
      <w:r w:rsidR="001B6363">
        <w:rPr>
          <w:rFonts w:ascii="Californian FB" w:hAnsi="Californian FB" w:cs="Times New Roman"/>
          <w:color w:val="000000"/>
          <w:sz w:val="24"/>
          <w:szCs w:val="24"/>
        </w:rPr>
        <w:t xml:space="preserve">the context in which </w:t>
      </w:r>
      <w:r w:rsidR="001E3E99">
        <w:rPr>
          <w:rFonts w:ascii="Californian FB" w:hAnsi="Californian FB" w:cs="Times New Roman"/>
          <w:color w:val="000000"/>
          <w:sz w:val="24"/>
          <w:szCs w:val="24"/>
        </w:rPr>
        <w:t xml:space="preserve">they </w:t>
      </w:r>
      <w:r w:rsidR="001B6363">
        <w:rPr>
          <w:rFonts w:ascii="Californian FB" w:hAnsi="Californian FB" w:cs="Times New Roman"/>
          <w:color w:val="000000"/>
          <w:sz w:val="24"/>
          <w:szCs w:val="24"/>
        </w:rPr>
        <w:t xml:space="preserve">chose to display it, and substituting another context </w:t>
      </w:r>
      <w:r w:rsidR="001E3E99">
        <w:rPr>
          <w:rFonts w:ascii="Californian FB" w:hAnsi="Californian FB" w:cs="Times New Roman"/>
          <w:color w:val="000000"/>
          <w:sz w:val="24"/>
          <w:szCs w:val="24"/>
        </w:rPr>
        <w:t xml:space="preserve">that </w:t>
      </w:r>
      <w:r w:rsidR="001B6363">
        <w:rPr>
          <w:rFonts w:ascii="Californian FB" w:hAnsi="Californian FB" w:cs="Times New Roman"/>
          <w:color w:val="000000"/>
          <w:sz w:val="24"/>
          <w:szCs w:val="24"/>
        </w:rPr>
        <w:t>potentially creates income</w:t>
      </w:r>
      <w:r w:rsidR="001E3E99">
        <w:rPr>
          <w:rFonts w:ascii="Californian FB" w:hAnsi="Californian FB" w:cs="Times New Roman"/>
          <w:color w:val="000000"/>
          <w:sz w:val="24"/>
          <w:szCs w:val="24"/>
        </w:rPr>
        <w:t>, not for them, but</w:t>
      </w:r>
      <w:r w:rsidR="001B6363">
        <w:rPr>
          <w:rFonts w:ascii="Californian FB" w:hAnsi="Californian FB" w:cs="Times New Roman"/>
          <w:color w:val="000000"/>
          <w:sz w:val="24"/>
          <w:szCs w:val="24"/>
        </w:rPr>
        <w:t xml:space="preserve"> for the embedder</w:t>
      </w:r>
      <w:r w:rsidR="001E3E99">
        <w:rPr>
          <w:rFonts w:ascii="Californian FB" w:hAnsi="Californian FB" w:cs="Times New Roman"/>
          <w:color w:val="000000"/>
          <w:sz w:val="24"/>
          <w:szCs w:val="24"/>
        </w:rPr>
        <w:t>s?</w:t>
      </w:r>
      <w:r>
        <w:rPr>
          <w:rFonts w:ascii="Californian FB" w:hAnsi="Californian FB" w:cs="Times New Roman"/>
          <w:color w:val="000000"/>
          <w:sz w:val="24"/>
          <w:szCs w:val="24"/>
        </w:rPr>
        <w:t xml:space="preserve"> </w:t>
      </w:r>
      <w:r w:rsidR="001B6363">
        <w:rPr>
          <w:rFonts w:ascii="Californian FB" w:hAnsi="Californian FB" w:cs="Times New Roman"/>
          <w:color w:val="000000"/>
          <w:sz w:val="24"/>
          <w:szCs w:val="24"/>
        </w:rPr>
        <w:t xml:space="preserve"> Does copyright law have good language for talking about substitutions of context?</w:t>
      </w:r>
    </w:p>
    <w:p w14:paraId="76DB1F34" w14:textId="77777777" w:rsidR="00D96434" w:rsidRPr="001B6363" w:rsidRDefault="00D96434" w:rsidP="00D96434">
      <w:pPr>
        <w:shd w:val="clear" w:color="auto" w:fill="FFFFFF"/>
        <w:ind w:left="360" w:firstLine="36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In late 2021 and early 2022, a District Court in the Ninth Circuit reaffirmed the server test articulated in </w:t>
      </w:r>
      <w:r>
        <w:rPr>
          <w:rFonts w:ascii="Californian FB" w:hAnsi="Californian FB" w:cs="Times New Roman"/>
          <w:i/>
          <w:iCs/>
          <w:color w:val="000000"/>
          <w:sz w:val="24"/>
          <w:szCs w:val="24"/>
        </w:rPr>
        <w:t>Perfect 10</w:t>
      </w:r>
      <w:r>
        <w:rPr>
          <w:rFonts w:ascii="Californian FB" w:hAnsi="Californian FB" w:cs="Times New Roman"/>
          <w:color w:val="000000"/>
          <w:sz w:val="24"/>
          <w:szCs w:val="24"/>
        </w:rPr>
        <w:t xml:space="preserve">.  </w:t>
      </w:r>
      <w:r>
        <w:rPr>
          <w:rFonts w:ascii="Californian FB" w:hAnsi="Californian FB" w:cs="Times New Roman"/>
          <w:i/>
          <w:iCs/>
          <w:color w:val="000000"/>
          <w:sz w:val="24"/>
          <w:szCs w:val="24"/>
        </w:rPr>
        <w:t xml:space="preserve">See </w:t>
      </w:r>
      <w:r>
        <w:rPr>
          <w:rFonts w:ascii="Californian FB" w:hAnsi="Californian FB" w:cs="Times New Roman"/>
          <w:color w:val="000000"/>
          <w:sz w:val="24"/>
          <w:szCs w:val="24"/>
        </w:rPr>
        <w:t>Hunley v. Instagram, LLC, 2021 WL 4243385 (N.D. Cal.); Hunley v. Instagram, 2022 WL 298570 (N.D. Cal.).  Thus, the Ninth Circuit and the Second Circuit remain at odds over this issue.</w:t>
      </w:r>
    </w:p>
    <w:p w14:paraId="21AFD6EA" w14:textId="77777777" w:rsidR="00D96434" w:rsidRDefault="00D96434" w:rsidP="00BD5498">
      <w:pPr>
        <w:shd w:val="clear" w:color="auto" w:fill="FFFFFF"/>
        <w:ind w:left="360" w:firstLine="360"/>
        <w:jc w:val="both"/>
        <w:rPr>
          <w:rFonts w:ascii="Californian FB" w:hAnsi="Californian FB" w:cs="Times New Roman"/>
          <w:color w:val="000000"/>
          <w:sz w:val="24"/>
          <w:szCs w:val="24"/>
        </w:rPr>
      </w:pPr>
    </w:p>
    <w:p w14:paraId="42E3DA0F" w14:textId="21844238" w:rsidR="007517F0" w:rsidRPr="00694EE7" w:rsidRDefault="00694EE7" w:rsidP="00ED6BE0">
      <w:pPr>
        <w:shd w:val="clear" w:color="auto" w:fill="FFFFFF"/>
        <w:rPr>
          <w:rFonts w:ascii="Californian FB" w:eastAsia="Times New Roman" w:hAnsi="Californian FB" w:cstheme="minorHAnsi"/>
          <w:b/>
          <w:sz w:val="28"/>
          <w:szCs w:val="28"/>
        </w:rPr>
      </w:pPr>
      <w:r w:rsidRPr="00694EE7">
        <w:rPr>
          <w:rFonts w:ascii="Californian FB" w:eastAsia="Times New Roman" w:hAnsi="Californian FB" w:cstheme="minorHAnsi"/>
          <w:b/>
          <w:sz w:val="28"/>
          <w:szCs w:val="28"/>
        </w:rPr>
        <w:t>C. Limitations on the Public Performance and Display Rights</w:t>
      </w:r>
    </w:p>
    <w:p w14:paraId="62975323" w14:textId="4C559251" w:rsidR="00694EE7" w:rsidRPr="00694EE7" w:rsidRDefault="00694EE7" w:rsidP="00ED6BE0">
      <w:pPr>
        <w:shd w:val="clear" w:color="auto" w:fill="FFFFFF"/>
        <w:rPr>
          <w:rFonts w:ascii="Californian FB" w:eastAsia="Times New Roman" w:hAnsi="Californian FB" w:cstheme="minorHAnsi"/>
          <w:sz w:val="28"/>
          <w:szCs w:val="28"/>
        </w:rPr>
      </w:pPr>
      <w:r w:rsidRPr="00694EE7">
        <w:rPr>
          <w:rFonts w:ascii="Californian FB" w:eastAsia="Times New Roman" w:hAnsi="Californian FB" w:cstheme="minorHAnsi"/>
          <w:sz w:val="28"/>
          <w:szCs w:val="28"/>
        </w:rPr>
        <w:t>p. 945 – Insert the following after paragraph (g)</w:t>
      </w:r>
      <w:r w:rsidR="0083263B">
        <w:rPr>
          <w:rFonts w:ascii="Californian FB" w:eastAsia="Times New Roman" w:hAnsi="Californian FB" w:cstheme="minorHAnsi"/>
          <w:sz w:val="28"/>
          <w:szCs w:val="28"/>
        </w:rPr>
        <w:t>:</w:t>
      </w:r>
    </w:p>
    <w:p w14:paraId="4904082E" w14:textId="77777777" w:rsidR="00694EE7" w:rsidRPr="00694EE7" w:rsidRDefault="00694EE7" w:rsidP="00ED6BE0">
      <w:pPr>
        <w:shd w:val="clear" w:color="auto" w:fill="FFFFFF"/>
        <w:rPr>
          <w:rFonts w:ascii="Californian FB" w:eastAsia="Times New Roman" w:hAnsi="Californian FB" w:cstheme="minorHAnsi"/>
          <w:b/>
          <w:sz w:val="24"/>
          <w:szCs w:val="24"/>
        </w:rPr>
      </w:pPr>
      <w:r w:rsidRPr="00694EE7">
        <w:rPr>
          <w:rFonts w:ascii="Californian FB" w:eastAsia="Times New Roman" w:hAnsi="Californian FB" w:cstheme="minorHAnsi"/>
          <w:sz w:val="24"/>
          <w:szCs w:val="24"/>
        </w:rPr>
        <w:tab/>
      </w:r>
      <w:r w:rsidRPr="00694EE7">
        <w:rPr>
          <w:rFonts w:ascii="Californian FB" w:eastAsia="Times New Roman" w:hAnsi="Californian FB" w:cstheme="minorHAnsi"/>
          <w:b/>
          <w:sz w:val="24"/>
          <w:szCs w:val="24"/>
        </w:rPr>
        <w:t>h.  The Family Movie Act of 2005</w:t>
      </w:r>
    </w:p>
    <w:p w14:paraId="288DFEA0" w14:textId="77777777" w:rsidR="00694EE7" w:rsidRPr="00694EE7" w:rsidRDefault="00694EE7" w:rsidP="00ED6BE0">
      <w:pPr>
        <w:shd w:val="clear" w:color="auto" w:fill="FFFFFF"/>
        <w:jc w:val="both"/>
        <w:rPr>
          <w:rFonts w:ascii="Californian FB" w:eastAsia="Times New Roman" w:hAnsi="Californian FB" w:cstheme="minorHAnsi"/>
          <w:sz w:val="24"/>
          <w:szCs w:val="24"/>
        </w:rPr>
      </w:pPr>
      <w:r w:rsidRPr="00694EE7">
        <w:rPr>
          <w:rFonts w:ascii="Californian FB" w:eastAsia="Times New Roman" w:hAnsi="Californian FB" w:cstheme="minorHAnsi"/>
          <w:sz w:val="24"/>
          <w:szCs w:val="24"/>
        </w:rPr>
        <w:tab/>
        <w:t xml:space="preserve">To accommodate viewers who want to view popular movies, but who are uncomfortable with explicit scenes of violence or sexual activity, or with coarse language, Congress added section 110(11) to the copyright statute in 2005 by adopting the Family Movie Act, P.L. 109-9 (Title II).  It provides immunity from infringement liability for filtering “mature content” from movies.  Specifically, it declares that it is not an infringement to make limited portions of a motion picture </w:t>
      </w:r>
      <w:r w:rsidRPr="00694EE7">
        <w:rPr>
          <w:rFonts w:ascii="Californian FB" w:eastAsia="Times New Roman" w:hAnsi="Californian FB" w:cstheme="minorHAnsi"/>
          <w:sz w:val="24"/>
          <w:szCs w:val="24"/>
        </w:rPr>
        <w:lastRenderedPageBreak/>
        <w:t xml:space="preserve">“imperceptible” during a performance in, or transmitted to a private home, provided that the performance is being made from an authorized copy of that motion picture.  The statute also immunizes developing and distributing software for home use that can accomplish the same results, once again, provided that the software does not make a new copy of the movie.  In other words, the immunity extends only to “editing on the fly” to remove objectionable content.  </w:t>
      </w:r>
    </w:p>
    <w:p w14:paraId="1A26AA17" w14:textId="4ED98D94" w:rsidR="00694EE7" w:rsidRPr="00694EE7" w:rsidRDefault="00694EE7" w:rsidP="00ED6BE0">
      <w:pPr>
        <w:shd w:val="clear" w:color="auto" w:fill="FFFFFF"/>
        <w:jc w:val="both"/>
        <w:rPr>
          <w:rFonts w:ascii="Californian FB" w:eastAsia="Times New Roman" w:hAnsi="Californian FB" w:cstheme="minorHAnsi"/>
          <w:sz w:val="24"/>
          <w:szCs w:val="24"/>
        </w:rPr>
      </w:pPr>
      <w:r w:rsidRPr="00694EE7">
        <w:rPr>
          <w:rFonts w:ascii="Californian FB" w:eastAsia="Times New Roman" w:hAnsi="Californian FB" w:cstheme="minorHAnsi"/>
          <w:sz w:val="24"/>
          <w:szCs w:val="24"/>
        </w:rPr>
        <w:tab/>
        <w:t xml:space="preserve">In </w:t>
      </w:r>
      <w:hyperlink r:id="rId285" w:history="1">
        <w:r w:rsidRPr="0079446D">
          <w:rPr>
            <w:rStyle w:val="Hyperlink"/>
            <w:rFonts w:ascii="Californian FB" w:eastAsia="Times New Roman" w:hAnsi="Californian FB" w:cstheme="minorHAnsi"/>
            <w:sz w:val="24"/>
            <w:szCs w:val="24"/>
          </w:rPr>
          <w:t xml:space="preserve">Disney Enterprises, Inc. v. </w:t>
        </w:r>
        <w:proofErr w:type="spellStart"/>
        <w:r w:rsidRPr="0079446D">
          <w:rPr>
            <w:rStyle w:val="Hyperlink"/>
            <w:rFonts w:ascii="Californian FB" w:eastAsia="Times New Roman" w:hAnsi="Californian FB" w:cstheme="minorHAnsi"/>
            <w:sz w:val="24"/>
            <w:szCs w:val="24"/>
          </w:rPr>
          <w:t>VidAngel</w:t>
        </w:r>
        <w:proofErr w:type="spellEnd"/>
        <w:r w:rsidRPr="0079446D">
          <w:rPr>
            <w:rStyle w:val="Hyperlink"/>
            <w:rFonts w:ascii="Californian FB" w:eastAsia="Times New Roman" w:hAnsi="Californian FB" w:cstheme="minorHAnsi"/>
            <w:sz w:val="24"/>
            <w:szCs w:val="24"/>
          </w:rPr>
          <w:t xml:space="preserve"> Inc., 869 F.3d 848 (9th Cir. 2017)</w:t>
        </w:r>
      </w:hyperlink>
      <w:r w:rsidRPr="00694EE7">
        <w:rPr>
          <w:rFonts w:ascii="Californian FB" w:eastAsia="Times New Roman" w:hAnsi="Californian FB" w:cstheme="minorHAnsi"/>
          <w:sz w:val="24"/>
          <w:szCs w:val="24"/>
        </w:rPr>
        <w:t xml:space="preserve">, the court considered the scope of the section 110(11) limitation.  The defendant in that case, a company called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offered a filtering service to consumers.  In the business model challenged in the lawsuit,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did this by purchasing multiple DVD copies of popular movies.  It used one of those discs to make a “master” copy (bypassing any copy controls on that disc).  This copy was broken into small segments which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tagged for objectionable types of content, such as nudity, drug use, racial slurs and the like.  The other discs were kept in inventory and nominally “purchased” by subscribers, although those discs were physically retained by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and were routinely “sold-back” to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for the price paid, minus one dollar per day.  Subscribers would then select filters and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would transmit the movie to them, using the master copy on its server while suppressing the relevant snippets</w:t>
      </w:r>
      <w:r w:rsidR="00644A02">
        <w:rPr>
          <w:rFonts w:ascii="Californian FB" w:eastAsia="Times New Roman" w:hAnsi="Californian FB" w:cstheme="minorHAnsi"/>
          <w:sz w:val="24"/>
          <w:szCs w:val="24"/>
        </w:rPr>
        <w:t xml:space="preserve"> corresponding to the selected filters</w:t>
      </w:r>
      <w:r w:rsidRPr="00694EE7">
        <w:rPr>
          <w:rFonts w:ascii="Californian FB" w:eastAsia="Times New Roman" w:hAnsi="Californian FB" w:cstheme="minorHAnsi"/>
          <w:sz w:val="24"/>
          <w:szCs w:val="24"/>
        </w:rPr>
        <w:t xml:space="preserve">.  The other copies of the DVD discs </w:t>
      </w:r>
      <w:r w:rsidR="00644A02">
        <w:rPr>
          <w:rFonts w:ascii="Californian FB" w:eastAsia="Times New Roman" w:hAnsi="Californian FB" w:cstheme="minorHAnsi"/>
          <w:sz w:val="24"/>
          <w:szCs w:val="24"/>
        </w:rPr>
        <w:t xml:space="preserve">apparently sat in the vault </w:t>
      </w:r>
      <w:r w:rsidRPr="00694EE7">
        <w:rPr>
          <w:rFonts w:ascii="Californian FB" w:eastAsia="Times New Roman" w:hAnsi="Californian FB" w:cstheme="minorHAnsi"/>
          <w:sz w:val="24"/>
          <w:szCs w:val="24"/>
        </w:rPr>
        <w:t>unused.</w:t>
      </w:r>
    </w:p>
    <w:p w14:paraId="4128F3BF" w14:textId="77777777" w:rsidR="00694EE7" w:rsidRPr="00694EE7" w:rsidRDefault="00694EE7" w:rsidP="00ED6BE0">
      <w:pPr>
        <w:shd w:val="clear" w:color="auto" w:fill="FFFFFF"/>
        <w:jc w:val="both"/>
        <w:rPr>
          <w:rFonts w:ascii="Californian FB" w:eastAsia="Times New Roman" w:hAnsi="Californian FB" w:cstheme="minorHAnsi"/>
          <w:sz w:val="24"/>
          <w:szCs w:val="24"/>
        </w:rPr>
      </w:pPr>
      <w:r w:rsidRPr="00694EE7">
        <w:rPr>
          <w:rFonts w:ascii="Californian FB" w:eastAsia="Times New Roman" w:hAnsi="Californian FB" w:cstheme="minorHAnsi"/>
          <w:sz w:val="24"/>
          <w:szCs w:val="24"/>
        </w:rPr>
        <w:tab/>
        <w:t xml:space="preserve">The court found that these activities were infringing and were not shielded by section 110(11), and thus affirmed a preliminary injunction against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The company argued that it had complied with the Family Movie Act limitations because it began its multi-step filtering process using an authorized DVD.  The Ninth Circuit disagreed, noting that “the most natural reading of the statute is that the filtered performance or transmission itself must be ‘from’ an authorized copy of the motion picture.”  Since </w:t>
      </w:r>
      <w:proofErr w:type="spellStart"/>
      <w:r w:rsidRPr="00694EE7">
        <w:rPr>
          <w:rFonts w:ascii="Californian FB" w:eastAsia="Times New Roman" w:hAnsi="Californian FB" w:cstheme="minorHAnsi"/>
          <w:sz w:val="24"/>
          <w:szCs w:val="24"/>
        </w:rPr>
        <w:t>VidAngel’s</w:t>
      </w:r>
      <w:proofErr w:type="spellEnd"/>
      <w:r w:rsidRPr="00694EE7">
        <w:rPr>
          <w:rFonts w:ascii="Californian FB" w:eastAsia="Times New Roman" w:hAnsi="Californian FB" w:cstheme="minorHAnsi"/>
          <w:sz w:val="24"/>
          <w:szCs w:val="24"/>
        </w:rPr>
        <w:t xml:space="preserve"> transmissions came from the copies it had made and stored on its servers, the court concluded that they could not rely on the defense.  The court bolstered this analysis by observing that</w:t>
      </w:r>
    </w:p>
    <w:p w14:paraId="535F5A98" w14:textId="77777777" w:rsidR="00694EE7" w:rsidRPr="00694EE7" w:rsidRDefault="00694EE7" w:rsidP="00ED6BE0">
      <w:pPr>
        <w:shd w:val="clear" w:color="auto" w:fill="FFFFFF"/>
        <w:ind w:left="360" w:right="360"/>
        <w:jc w:val="both"/>
        <w:rPr>
          <w:rFonts w:ascii="Californian FB" w:eastAsia="Times New Roman" w:hAnsi="Californian FB" w:cstheme="minorHAnsi"/>
          <w:sz w:val="24"/>
          <w:szCs w:val="24"/>
        </w:rPr>
      </w:pPr>
      <w:proofErr w:type="spellStart"/>
      <w:r w:rsidRPr="00694EE7">
        <w:rPr>
          <w:rFonts w:ascii="Californian FB" w:eastAsia="Times New Roman" w:hAnsi="Californian FB" w:cstheme="minorHAnsi"/>
          <w:sz w:val="24"/>
          <w:szCs w:val="24"/>
        </w:rPr>
        <w:t>VidAngel's</w:t>
      </w:r>
      <w:proofErr w:type="spellEnd"/>
      <w:r w:rsidRPr="00694EE7">
        <w:rPr>
          <w:rFonts w:ascii="Californian FB" w:eastAsia="Times New Roman" w:hAnsi="Californian FB" w:cstheme="minorHAnsi"/>
          <w:sz w:val="24"/>
          <w:szCs w:val="24"/>
        </w:rPr>
        <w:t xml:space="preserve"> interpretation would create a giant loophole in copyright law, sanctioning infringement so long as it filters some content and a copy of the work was lawfully purchased at some point. But, virtually all piracy of movies originates in some way from a legitimate copy. If the mere purchase of an authorized copy alone precluded infringement liability under the FMA, the statute would severely erode the commercial value of the public performance right in the digital context, permitting, for example, unlicensed streams which filter out only a movie's credits. </w:t>
      </w:r>
    </w:p>
    <w:p w14:paraId="437B0982" w14:textId="68AF1E72" w:rsidR="00694EE7" w:rsidRPr="00694EE7" w:rsidRDefault="00694EE7" w:rsidP="00ED6BE0">
      <w:pPr>
        <w:shd w:val="clear" w:color="auto" w:fill="FFFFFF"/>
        <w:jc w:val="both"/>
        <w:rPr>
          <w:rFonts w:ascii="Californian FB" w:eastAsia="Times New Roman" w:hAnsi="Californian FB" w:cstheme="minorHAnsi"/>
          <w:sz w:val="24"/>
          <w:szCs w:val="24"/>
        </w:rPr>
      </w:pPr>
      <w:r w:rsidRPr="00694EE7">
        <w:rPr>
          <w:rFonts w:ascii="Californian FB" w:eastAsia="Times New Roman" w:hAnsi="Californian FB" w:cstheme="minorHAnsi"/>
          <w:sz w:val="24"/>
          <w:szCs w:val="24"/>
        </w:rPr>
        <w:tab/>
        <w:t xml:space="preserve">In the wake of the legal defeat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has sought protection under the bankruptcy laws, which has the effect of freezing the litigation described above.  It has also filed its own suit in Utah federal court against a different group of copyright owners than those who sued it in California.  It has also revised its filtering process – it now uses a stream-based technology, rather than decrypting and copying from DVDs </w:t>
      </w:r>
      <w:proofErr w:type="gramStart"/>
      <w:r w:rsidRPr="00694EE7">
        <w:rPr>
          <w:rFonts w:ascii="Californian FB" w:eastAsia="Times New Roman" w:hAnsi="Californian FB" w:cstheme="minorHAnsi"/>
          <w:sz w:val="24"/>
          <w:szCs w:val="24"/>
        </w:rPr>
        <w:t>--  and</w:t>
      </w:r>
      <w:proofErr w:type="gramEnd"/>
      <w:r w:rsidRPr="00694EE7">
        <w:rPr>
          <w:rFonts w:ascii="Californian FB" w:eastAsia="Times New Roman" w:hAnsi="Californian FB" w:cstheme="minorHAnsi"/>
          <w:sz w:val="24"/>
          <w:szCs w:val="24"/>
        </w:rPr>
        <w:t xml:space="preserve"> is seeking a declaratory judgment that its new practices are legal.  Presumably it thinks that suing in a more socially conservative state where many residents might favor filtering technologies will provide it with a more positive reception for its arguments.  The caption of that </w:t>
      </w:r>
      <w:r w:rsidR="00644A02">
        <w:rPr>
          <w:rFonts w:ascii="Californian FB" w:eastAsia="Times New Roman" w:hAnsi="Californian FB" w:cstheme="minorHAnsi"/>
          <w:sz w:val="24"/>
          <w:szCs w:val="24"/>
        </w:rPr>
        <w:t xml:space="preserve">pending </w:t>
      </w:r>
      <w:r w:rsidRPr="00694EE7">
        <w:rPr>
          <w:rFonts w:ascii="Californian FB" w:eastAsia="Times New Roman" w:hAnsi="Californian FB" w:cstheme="minorHAnsi"/>
          <w:sz w:val="24"/>
          <w:szCs w:val="24"/>
        </w:rPr>
        <w:t xml:space="preserve">case is </w:t>
      </w:r>
      <w:proofErr w:type="spellStart"/>
      <w:r w:rsidRPr="00694EE7">
        <w:rPr>
          <w:rFonts w:ascii="Californian FB" w:eastAsia="Times New Roman" w:hAnsi="Californian FB" w:cstheme="minorHAnsi"/>
          <w:sz w:val="24"/>
          <w:szCs w:val="24"/>
        </w:rPr>
        <w:t>VidAngel</w:t>
      </w:r>
      <w:proofErr w:type="spellEnd"/>
      <w:r w:rsidRPr="00694EE7">
        <w:rPr>
          <w:rFonts w:ascii="Californian FB" w:eastAsia="Times New Roman" w:hAnsi="Californian FB" w:cstheme="minorHAnsi"/>
          <w:sz w:val="24"/>
          <w:szCs w:val="24"/>
        </w:rPr>
        <w:t xml:space="preserve"> LLC v. Sullivan Entertainment Group, Docket No. 2:17-cv-00989 (D. Utah).</w:t>
      </w:r>
    </w:p>
    <w:p w14:paraId="6228944B" w14:textId="5FD581E7" w:rsidR="00694EE7" w:rsidRPr="00694EE7" w:rsidRDefault="00694EE7" w:rsidP="00ED6BE0">
      <w:pPr>
        <w:shd w:val="clear" w:color="auto" w:fill="FFFFFF"/>
        <w:rPr>
          <w:rFonts w:ascii="Californian FB" w:eastAsia="Times New Roman" w:hAnsi="Californian FB" w:cstheme="minorHAnsi"/>
          <w:sz w:val="24"/>
          <w:szCs w:val="24"/>
        </w:rPr>
      </w:pPr>
      <w:r>
        <w:rPr>
          <w:noProof/>
        </w:rPr>
        <w:lastRenderedPageBreak/>
        <w:drawing>
          <wp:anchor distT="0" distB="0" distL="114300" distR="114300" simplePos="0" relativeHeight="251672576" behindDoc="1" locked="0" layoutInCell="1" allowOverlap="1" wp14:anchorId="7679E1B7" wp14:editId="1C21D7CA">
            <wp:simplePos x="0" y="0"/>
            <wp:positionH relativeFrom="column">
              <wp:posOffset>1424940</wp:posOffset>
            </wp:positionH>
            <wp:positionV relativeFrom="paragraph">
              <wp:posOffset>218440</wp:posOffset>
            </wp:positionV>
            <wp:extent cx="3009265" cy="1031875"/>
            <wp:effectExtent l="0" t="0" r="635" b="0"/>
            <wp:wrapTight wrapText="bothSides">
              <wp:wrapPolygon edited="0">
                <wp:start x="0" y="0"/>
                <wp:lineTo x="0" y="21135"/>
                <wp:lineTo x="21468" y="21135"/>
                <wp:lineTo x="21468" y="0"/>
                <wp:lineTo x="0" y="0"/>
              </wp:wrapPolygon>
            </wp:wrapTight>
            <wp:docPr id="2" name="Picture 2" descr="Image result for vid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vidangel"/>
                    <pic:cNvPicPr>
                      <a:picLocks noChangeAspect="1" noChangeArrowheads="1"/>
                    </pic:cNvPicPr>
                  </pic:nvPicPr>
                  <pic:blipFill>
                    <a:blip r:embed="rId286" cstate="screen">
                      <a:extLst>
                        <a:ext uri="{28A0092B-C50C-407E-A947-70E740481C1C}">
                          <a14:useLocalDpi xmlns:a14="http://schemas.microsoft.com/office/drawing/2010/main"/>
                        </a:ext>
                      </a:extLst>
                    </a:blip>
                    <a:srcRect/>
                    <a:stretch>
                      <a:fillRect/>
                    </a:stretch>
                  </pic:blipFill>
                  <pic:spPr bwMode="auto">
                    <a:xfrm>
                      <a:off x="0" y="0"/>
                      <a:ext cx="300926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DF9CE" w14:textId="44893C27" w:rsidR="00694EE7" w:rsidRPr="00694EE7" w:rsidRDefault="00694EE7" w:rsidP="00ED6BE0">
      <w:pPr>
        <w:shd w:val="clear" w:color="auto" w:fill="FFFFFF"/>
        <w:rPr>
          <w:rFonts w:ascii="Californian FB" w:eastAsia="Times New Roman" w:hAnsi="Californian FB" w:cstheme="minorHAnsi"/>
          <w:sz w:val="24"/>
          <w:szCs w:val="24"/>
        </w:rPr>
      </w:pPr>
    </w:p>
    <w:p w14:paraId="7DF537A3" w14:textId="4B3A9D34" w:rsidR="00694EE7" w:rsidRPr="00694EE7" w:rsidRDefault="00694EE7" w:rsidP="00ED6BE0">
      <w:pPr>
        <w:shd w:val="clear" w:color="auto" w:fill="FFFFFF"/>
        <w:jc w:val="center"/>
        <w:rPr>
          <w:rFonts w:ascii="Californian FB" w:eastAsia="Times New Roman" w:hAnsi="Californian FB" w:cstheme="minorHAnsi"/>
          <w:sz w:val="24"/>
          <w:szCs w:val="24"/>
        </w:rPr>
      </w:pPr>
    </w:p>
    <w:p w14:paraId="43646652" w14:textId="77777777" w:rsidR="00694EE7" w:rsidRPr="00694EE7" w:rsidRDefault="00694EE7" w:rsidP="00ED6BE0">
      <w:pPr>
        <w:shd w:val="clear" w:color="auto" w:fill="FFFFFF"/>
        <w:rPr>
          <w:rFonts w:ascii="Californian FB" w:eastAsia="Times New Roman" w:hAnsi="Californian FB" w:cstheme="minorHAnsi"/>
          <w:sz w:val="24"/>
          <w:szCs w:val="24"/>
        </w:rPr>
      </w:pPr>
    </w:p>
    <w:p w14:paraId="7DB6263C" w14:textId="77777777" w:rsidR="00694EE7" w:rsidRPr="00694EE7" w:rsidRDefault="00694EE7" w:rsidP="00ED6BE0">
      <w:pPr>
        <w:shd w:val="clear" w:color="auto" w:fill="FFFFFF"/>
        <w:rPr>
          <w:rFonts w:ascii="Californian FB" w:eastAsia="Times New Roman" w:hAnsi="Californian FB" w:cstheme="minorHAnsi"/>
          <w:sz w:val="24"/>
          <w:szCs w:val="24"/>
        </w:rPr>
      </w:pPr>
    </w:p>
    <w:p w14:paraId="5B1459A0" w14:textId="77777777" w:rsidR="00483E23" w:rsidRPr="00694EE7" w:rsidRDefault="00483E23" w:rsidP="00ED6BE0">
      <w:pPr>
        <w:shd w:val="clear" w:color="auto" w:fill="FFFFFF"/>
        <w:rPr>
          <w:rFonts w:ascii="Californian FB" w:eastAsia="Times New Roman" w:hAnsi="Californian FB" w:cstheme="minorHAnsi"/>
          <w:sz w:val="24"/>
          <w:szCs w:val="24"/>
        </w:rPr>
      </w:pPr>
    </w:p>
    <w:p w14:paraId="466685A7" w14:textId="77777777" w:rsidR="004628D5" w:rsidRDefault="004628D5" w:rsidP="009370F1">
      <w:pPr>
        <w:shd w:val="clear" w:color="auto" w:fill="FFFFFF"/>
        <w:rPr>
          <w:rFonts w:ascii="Californian FB" w:eastAsia="Times New Roman" w:hAnsi="Californian FB" w:cstheme="minorHAnsi"/>
          <w:b/>
          <w:sz w:val="28"/>
          <w:szCs w:val="28"/>
        </w:rPr>
      </w:pPr>
    </w:p>
    <w:p w14:paraId="065F70BF" w14:textId="0D490C38" w:rsidR="009370F1" w:rsidRDefault="009370F1" w:rsidP="009370F1">
      <w:pPr>
        <w:shd w:val="clear" w:color="auto" w:fill="FFFFFF"/>
        <w:rPr>
          <w:rFonts w:ascii="Californian FB" w:eastAsia="Times New Roman" w:hAnsi="Californian FB" w:cstheme="minorHAnsi"/>
          <w:b/>
          <w:sz w:val="28"/>
          <w:szCs w:val="28"/>
        </w:rPr>
      </w:pPr>
      <w:r>
        <w:rPr>
          <w:rFonts w:ascii="Californian FB" w:eastAsia="Times New Roman" w:hAnsi="Californian FB" w:cstheme="minorHAnsi"/>
          <w:b/>
          <w:sz w:val="28"/>
          <w:szCs w:val="28"/>
        </w:rPr>
        <w:t>E</w:t>
      </w:r>
      <w:r w:rsidRPr="00507496">
        <w:rPr>
          <w:rFonts w:ascii="Californian FB" w:eastAsia="Times New Roman" w:hAnsi="Californian FB" w:cstheme="minorHAnsi"/>
          <w:b/>
          <w:sz w:val="28"/>
          <w:szCs w:val="28"/>
        </w:rPr>
        <w:t xml:space="preserve">. The </w:t>
      </w:r>
      <w:r>
        <w:rPr>
          <w:rFonts w:ascii="Californian FB" w:eastAsia="Times New Roman" w:hAnsi="Californian FB" w:cstheme="minorHAnsi"/>
          <w:b/>
          <w:sz w:val="28"/>
          <w:szCs w:val="28"/>
        </w:rPr>
        <w:t>Digital Performance Right for Sound Recordings</w:t>
      </w:r>
    </w:p>
    <w:p w14:paraId="4EB50FD6" w14:textId="77777777" w:rsidR="009370F1" w:rsidRDefault="009370F1">
      <w:pPr>
        <w:rPr>
          <w:rFonts w:ascii="Californian FB" w:eastAsia="Times New Roman" w:hAnsi="Californian FB" w:cstheme="minorHAnsi"/>
          <w:bCs/>
          <w:sz w:val="28"/>
          <w:szCs w:val="28"/>
        </w:rPr>
      </w:pPr>
      <w:r>
        <w:rPr>
          <w:rFonts w:ascii="Californian FB" w:eastAsia="Times New Roman" w:hAnsi="Californian FB" w:cstheme="minorHAnsi"/>
          <w:bCs/>
          <w:sz w:val="28"/>
          <w:szCs w:val="28"/>
        </w:rPr>
        <w:t>P. 977 – Replace the entirety of Chapter 12.E., pp. 977-987, with the following:</w:t>
      </w:r>
    </w:p>
    <w:p w14:paraId="2F1B4DCB" w14:textId="77777777" w:rsidR="006C72F0" w:rsidRPr="003C74F8" w:rsidRDefault="006C72F0" w:rsidP="006C72F0">
      <w:pPr>
        <w:rPr>
          <w:rFonts w:ascii="Californian FB" w:hAnsi="Californian FB" w:cs="Times New Roman"/>
          <w:b/>
          <w:bCs/>
          <w:sz w:val="24"/>
          <w:szCs w:val="24"/>
        </w:rPr>
      </w:pPr>
      <w:r w:rsidRPr="003C74F8">
        <w:rPr>
          <w:rFonts w:ascii="Californian FB" w:hAnsi="Californian FB" w:cs="Times New Roman"/>
          <w:b/>
          <w:bCs/>
          <w:sz w:val="24"/>
          <w:szCs w:val="24"/>
        </w:rPr>
        <w:t>E. Digital Streaming of Music After the Musical Works Modernization Act</w:t>
      </w:r>
    </w:p>
    <w:p w14:paraId="45844388"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In the main body of the casebook, this section of Chapter 12 is devoted to exploring the digital audio transmission right for sound recordings.  That exclusive right was added to the Copyright Act by Digital Performance Right in Sound Recordings Act of 1995 (“DPRA”), and codified as § 106(6), with elaborations in § 114.  (Notice that “digital audio transmissions” can include over-the-air broadcasts as well as transmissions over the internet, and we are using “streaming” in that broad sense as well.) </w:t>
      </w:r>
    </w:p>
    <w:p w14:paraId="7E1F89A0" w14:textId="0B19462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Digital audio transmissions are no longer a nascent technology that obtained a new exclusive right.  Rather, they now represent the predominant form of enjoying music in the United States. Digital streaming of music has largely replaced both sales of physical media like CDs, vinyl, and cassettes, and sales of digital downloads.  In 2018, 75 percent of the revenue from recorded music in the United States – $7.4 billion of the $9.8 billion total – came from streaming.  Only 11% ($1.15 billion) came from physical media sales, and only 10% ($1.04 billion) from downloads.  (The tiny remainder – 3% – came from synchronization licenses – licenses to use sound recordings in video and movies.)  </w:t>
      </w:r>
      <w:r w:rsidRPr="003C74F8">
        <w:rPr>
          <w:rFonts w:ascii="Californian FB" w:hAnsi="Californian FB" w:cs="Times New Roman"/>
          <w:i/>
          <w:iCs/>
          <w:sz w:val="24"/>
          <w:szCs w:val="24"/>
        </w:rPr>
        <w:t xml:space="preserve">See </w:t>
      </w:r>
      <w:hyperlink r:id="rId287" w:history="1">
        <w:r w:rsidRPr="003C74F8">
          <w:rPr>
            <w:rStyle w:val="Hyperlink"/>
            <w:rFonts w:ascii="Californian FB" w:hAnsi="Californian FB" w:cs="Times New Roman"/>
            <w:sz w:val="24"/>
            <w:szCs w:val="24"/>
          </w:rPr>
          <w:t>Recording Industry Association of America, RIAA 2018 Year-End Music Industry Revenue Report</w:t>
        </w:r>
      </w:hyperlink>
      <w:r w:rsidRPr="003C74F8">
        <w:rPr>
          <w:rFonts w:ascii="Californian FB" w:hAnsi="Californian FB" w:cs="Times New Roman"/>
          <w:sz w:val="24"/>
          <w:szCs w:val="24"/>
        </w:rPr>
        <w:t xml:space="preserve">  (hereinafter “RIAA 2018 Report”). The dominance of digital streaming will almost certainly only increase. </w:t>
      </w:r>
    </w:p>
    <w:p w14:paraId="1AEFBB6F" w14:textId="63A50269"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Because of the dominance of digital music streaming, and because of recent legislation in that area, we think it is important to give you an overview of how copyright licensing for digital streaming will now work, both for sound recordings and for musical works.  The recent legislation is </w:t>
      </w:r>
      <w:hyperlink r:id="rId288" w:history="1">
        <w:r w:rsidRPr="003C74F8">
          <w:rPr>
            <w:rStyle w:val="Hyperlink"/>
            <w:rFonts w:ascii="Californian FB" w:hAnsi="Californian FB" w:cs="Times New Roman"/>
            <w:sz w:val="24"/>
            <w:szCs w:val="24"/>
          </w:rPr>
          <w:t>Orrin G. Hatch – Bob Goodlatte Music Modernization Act (“MMA”)</w:t>
        </w:r>
      </w:hyperlink>
      <w:r w:rsidRPr="003C74F8">
        <w:rPr>
          <w:rFonts w:ascii="Californian FB" w:hAnsi="Californian FB" w:cs="Times New Roman"/>
          <w:sz w:val="24"/>
          <w:szCs w:val="24"/>
        </w:rPr>
        <w:t>, which was signed into law by President Trump on October 11, 2018, and consists of three separate Titles.  Title I, which is known separately as the “Musical Works Modernization Act” or MWMA, focuses mainly on musical works licensing, but also has some provisions that affect the licensing of sound recordings.  Title III, known separately as the “Allocation for Music Producers Act,” is directed to sound recording licensing.  (Title II, known separately as the “Classics Protection and Access Act,” grants new federal rights in pre-1972 sound recordings, while further preempting existing state-</w:t>
      </w:r>
      <w:r w:rsidRPr="003C74F8">
        <w:rPr>
          <w:rFonts w:ascii="Californian FB" w:hAnsi="Californian FB" w:cs="Times New Roman"/>
          <w:sz w:val="24"/>
          <w:szCs w:val="24"/>
        </w:rPr>
        <w:lastRenderedPageBreak/>
        <w:t xml:space="preserve">law rights.  We will introduce that legislation in the following section, Chapter 12.F.)  The overview we will present will largely be from the perspective of someone who would like to start a business that streams music to the public.  If you wanted to do that, what permissions would be necessary, and how would you obtain them, given the kind of streaming that you wanted to do? </w:t>
      </w:r>
    </w:p>
    <w:p w14:paraId="79F651FC"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b/>
          <w:bCs/>
          <w:sz w:val="24"/>
          <w:szCs w:val="24"/>
        </w:rPr>
        <w:t xml:space="preserve">1. Streaming and Paying for Sound Recordings: The Three Categories of Digital Audio Transmissions.  </w:t>
      </w:r>
      <w:r w:rsidRPr="003C74F8">
        <w:rPr>
          <w:rFonts w:ascii="Californian FB" w:hAnsi="Californian FB" w:cs="Times New Roman"/>
          <w:sz w:val="24"/>
          <w:szCs w:val="24"/>
        </w:rPr>
        <w:t xml:space="preserve">We’re going to start with the details of licensing sound recordings for streaming purposes.  Historically, of course, if you wanted to broadcast or otherwise perform musical sound recordings, you would only have to pay for use of the musical works, which you would do through a PRO like ASCAP.  Sound recordings had no public performance rights.  The DPRA did not grant full public performance rights to sound recordings.  They can still be played by venues like shops and restaurants and analog radio stations without any license.  However, the DPRA did add a right for one particular type of public performance of sound recordings: digital audio transmissions, which are digital transmissions of sound without any accompanying images. </w:t>
      </w:r>
    </w:p>
    <w:p w14:paraId="79B42761"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As amended by the Digital Millennium Copyright Act, the DPRA divides digital audio transmissions into three categories: exempt transmissions, statutory-license transmissions, and negotiated-license transmissions.  Thus, if you want to stream music, your first step would be to figure out which of those categories encompasses the streaming you want to do.  The boundaries of the three categories are codified in some very long and torturous language in § 114 of the Copyright Act.  (Although you are used to looking for definitions of copyright terms in § 101, § 114 includes its own set of definitions in § 114(j); that’s how complicated it is.)  </w:t>
      </w:r>
    </w:p>
    <w:p w14:paraId="0F57B7BE"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b/>
          <w:bCs/>
          <w:sz w:val="24"/>
          <w:szCs w:val="24"/>
        </w:rPr>
        <w:t>a.  Exempt transmissions and free radio broadcasters</w:t>
      </w:r>
      <w:r w:rsidRPr="003C74F8">
        <w:rPr>
          <w:rFonts w:ascii="Californian FB" w:hAnsi="Californian FB" w:cs="Times New Roman"/>
          <w:sz w:val="24"/>
          <w:szCs w:val="24"/>
        </w:rPr>
        <w:t xml:space="preserve">.  Your streaming activity would qualify as an exempt transmission, for which no sound-recording permissions or royalties are required, if you were engaging in a non-interactive, </w:t>
      </w:r>
      <w:proofErr w:type="spellStart"/>
      <w:r w:rsidRPr="003C74F8">
        <w:rPr>
          <w:rFonts w:ascii="Californian FB" w:hAnsi="Californian FB" w:cs="Times New Roman"/>
          <w:sz w:val="24"/>
          <w:szCs w:val="24"/>
        </w:rPr>
        <w:t>nonsubscription</w:t>
      </w:r>
      <w:proofErr w:type="spellEnd"/>
      <w:r w:rsidRPr="003C74F8">
        <w:rPr>
          <w:rFonts w:ascii="Californian FB" w:hAnsi="Californian FB" w:cs="Times New Roman"/>
          <w:sz w:val="24"/>
          <w:szCs w:val="24"/>
        </w:rPr>
        <w:t xml:space="preserve"> broadcast transmission.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 xml:space="preserve">17 U.S.C. § 114(d)(1)(A).  Section 114’s definition of “broadcast transmission” requires you to be an entity licensed by the Federal Communications Commission.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17 U.S.C. § 114(j). That means that this category is reserved for businesses that are operating what most of us think of as “old-fashioned radio stations” – free, over-the-air broadcasts – and that either want to broadcast over-the-air digitally (one popular version of which is known as “HD Radio”) or to stream audio over the internet.  Recall that these old-fashioned radio stations have never had to pay for their analog broadcast of sound recordings.  The “exempt transmissions” category can be seen in part as a concession to this longstanding radio station business model, allowing such stations to move into digital broadcasting or internet radio without having to pay new royalties.  You may wonder about the fairness of favoring old, entrenched industry participants.  But you may also realize that such favoritism is sometimes a political necessity to get legislation passed, and of course those participants also have arguments about why they should be treated differently. Thus, if you’re operating an FCC-licensed radio station, you will likely be able to venture into digital broadcasting or internet radio without having to worry about getting permission from the owner of copyright in the sound recordings.  You will just have to pay for performing the musical works, about which more below.</w:t>
      </w:r>
    </w:p>
    <w:p w14:paraId="33309F1C"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b/>
          <w:bCs/>
          <w:sz w:val="24"/>
          <w:szCs w:val="24"/>
        </w:rPr>
        <w:lastRenderedPageBreak/>
        <w:t xml:space="preserve">b. Statutory-license transmissions and noninteractive services.  </w:t>
      </w:r>
      <w:r w:rsidRPr="003C74F8">
        <w:rPr>
          <w:rFonts w:ascii="Californian FB" w:hAnsi="Californian FB" w:cs="Times New Roman"/>
          <w:sz w:val="24"/>
          <w:szCs w:val="24"/>
        </w:rPr>
        <w:t xml:space="preserve">If you are not an FCC-licensed radio station, you will have to obtain permission and pay royalties to stream sound recordings. If you meet the four pages of requirements in § 114(d)(2), you will be able to take advantage of a statutory license, under which you can pay a government-determined fee to obtain permission to stream. We can’t cover all four pages of requirements here, but we can tell you that the general purposes of those requirements are to ensure that a streaming service does not come too close to substituting for purchasing music, and that it does not do too much to facilitate user copying.  </w:t>
      </w:r>
    </w:p>
    <w:p w14:paraId="6B54B9A7" w14:textId="77777777"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The single most important distinction that affects eligibility for a statutory license is that between </w:t>
      </w:r>
      <w:r w:rsidRPr="003C74F8">
        <w:rPr>
          <w:rFonts w:ascii="Californian FB" w:hAnsi="Californian FB" w:cs="Times New Roman"/>
          <w:b/>
          <w:bCs/>
          <w:sz w:val="24"/>
          <w:szCs w:val="24"/>
        </w:rPr>
        <w:t>interactive</w:t>
      </w:r>
      <w:r w:rsidRPr="003C74F8">
        <w:rPr>
          <w:rFonts w:ascii="Californian FB" w:hAnsi="Californian FB" w:cs="Times New Roman"/>
          <w:sz w:val="24"/>
          <w:szCs w:val="24"/>
        </w:rPr>
        <w:t xml:space="preserve"> services and </w:t>
      </w:r>
      <w:r w:rsidRPr="003C74F8">
        <w:rPr>
          <w:rFonts w:ascii="Californian FB" w:hAnsi="Californian FB" w:cs="Times New Roman"/>
          <w:b/>
          <w:bCs/>
          <w:sz w:val="24"/>
          <w:szCs w:val="24"/>
        </w:rPr>
        <w:t>non-interactive</w:t>
      </w:r>
      <w:r w:rsidRPr="003C74F8">
        <w:rPr>
          <w:rFonts w:ascii="Californian FB" w:hAnsi="Californian FB" w:cs="Times New Roman"/>
          <w:sz w:val="24"/>
          <w:szCs w:val="24"/>
        </w:rPr>
        <w:t xml:space="preserve"> services.  The classic interactive service is an on-demand service – a service that allows users to choose exactly which song to listen to at any given time.  The classic non-interactive service offers music programming like an old-fashioned radio station </w:t>
      </w:r>
      <w:proofErr w:type="gramStart"/>
      <w:r w:rsidRPr="003C74F8">
        <w:rPr>
          <w:rFonts w:ascii="Californian FB" w:hAnsi="Californian FB" w:cs="Times New Roman"/>
          <w:sz w:val="24"/>
          <w:szCs w:val="24"/>
        </w:rPr>
        <w:t>–  programming</w:t>
      </w:r>
      <w:proofErr w:type="gramEnd"/>
      <w:r w:rsidRPr="003C74F8">
        <w:rPr>
          <w:rFonts w:ascii="Californian FB" w:hAnsi="Californian FB" w:cs="Times New Roman"/>
          <w:sz w:val="24"/>
          <w:szCs w:val="24"/>
        </w:rPr>
        <w:t xml:space="preserve"> that may stay within a general genre of music, but over which a listener has no influence or advance knowledge.  As you might imagine, however, there are degrees of interactivity in between those two poles, like the service for which Pandora became famous, which lets the user create a “personal radio station” based on one or more recording artists, and then influence the contents of that channel by liking or not liking songs that are played.  The “interactive” category in § 114 covers some forms of interactivity beyond a pure on-demand service, so if you were unsure about what kind of service you were offering, you would want to consult the definition in § 114(j)(7).  (Pandora’s classic service is designed to stay within the “non-interactive” category.)  The </w:t>
      </w:r>
      <w:r w:rsidRPr="003C74F8">
        <w:rPr>
          <w:rFonts w:ascii="Californian FB" w:hAnsi="Californian FB" w:cs="Times New Roman"/>
          <w:i/>
          <w:sz w:val="24"/>
          <w:szCs w:val="24"/>
        </w:rPr>
        <w:t>Arista Records</w:t>
      </w:r>
      <w:r w:rsidRPr="003C74F8">
        <w:rPr>
          <w:rFonts w:ascii="Californian FB" w:hAnsi="Californian FB" w:cs="Times New Roman"/>
          <w:sz w:val="24"/>
          <w:szCs w:val="24"/>
        </w:rPr>
        <w:t xml:space="preserve"> case at page 977 of the casebook, in this subsection, provides a good illustration of the various twists and turns involved in this categorization.</w:t>
      </w:r>
    </w:p>
    <w:p w14:paraId="2C633C9F" w14:textId="3FF4C5A2"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If your service qualifies for the § 114 statutory license, you will be in good company.  Other existing services that use the § 114 statutory license include satellite radio services like SiriusXM; internet radio services like TuneIn and iHeartRadio; services that stream music into businesses and elevators like Mood Music (formerly </w:t>
      </w:r>
      <w:proofErr w:type="spellStart"/>
      <w:r w:rsidRPr="003C74F8">
        <w:rPr>
          <w:rFonts w:ascii="Californian FB" w:hAnsi="Californian FB" w:cs="Times New Roman"/>
          <w:sz w:val="24"/>
          <w:szCs w:val="24"/>
        </w:rPr>
        <w:t>Muzak</w:t>
      </w:r>
      <w:proofErr w:type="spellEnd"/>
      <w:r w:rsidRPr="003C74F8">
        <w:rPr>
          <w:rFonts w:ascii="Californian FB" w:hAnsi="Californian FB" w:cs="Times New Roman"/>
          <w:sz w:val="24"/>
          <w:szCs w:val="24"/>
        </w:rPr>
        <w:t xml:space="preserve">); services that provide audio-only channels on cable television, like Music Choice (which a student once told one of your authors that “only old people listen to”); public radio stations and networks like National Public Radio; and many smaller commercial, noncommercial and religious services.  An organization called </w:t>
      </w:r>
      <w:hyperlink r:id="rId289" w:history="1">
        <w:proofErr w:type="spellStart"/>
        <w:r w:rsidRPr="003C74F8">
          <w:rPr>
            <w:rStyle w:val="Hyperlink"/>
            <w:rFonts w:ascii="Californian FB" w:hAnsi="Californian FB" w:cs="Times New Roman"/>
            <w:sz w:val="24"/>
            <w:szCs w:val="24"/>
          </w:rPr>
          <w:t>SoundExchange</w:t>
        </w:r>
        <w:proofErr w:type="spellEnd"/>
      </w:hyperlink>
      <w:r w:rsidRPr="003C74F8">
        <w:rPr>
          <w:rFonts w:ascii="Californian FB" w:hAnsi="Californian FB" w:cs="Times New Roman"/>
          <w:sz w:val="24"/>
          <w:szCs w:val="24"/>
        </w:rPr>
        <w:t xml:space="preserve"> was created to collect the § 114 statutory license fees, so you would want to consult its </w:t>
      </w:r>
      <w:hyperlink r:id="rId290" w:history="1">
        <w:r w:rsidRPr="003C74F8">
          <w:rPr>
            <w:rStyle w:val="Hyperlink"/>
            <w:rFonts w:ascii="Californian FB" w:hAnsi="Californian FB" w:cs="Times New Roman"/>
            <w:sz w:val="24"/>
            <w:szCs w:val="24"/>
          </w:rPr>
          <w:t>service provider pages</w:t>
        </w:r>
      </w:hyperlink>
      <w:r w:rsidRPr="003C74F8">
        <w:rPr>
          <w:rFonts w:ascii="Californian FB" w:hAnsi="Californian FB" w:cs="Times New Roman"/>
          <w:sz w:val="24"/>
          <w:szCs w:val="24"/>
        </w:rPr>
        <w:t xml:space="preserve"> to register, obtain permission and make royalty payments.  Statutory licenses generated about $1.2 billion in recording industry revenues in 2018, accounting for about 12% of total industry revenues, and about 16% of streaming revenues.  (That, of course, means that negotiated interactive streaming licenses generated much more revenue, as we will see below. But it also means that the § 114 statutory license generated more than either sales of physical media or digital downloads.)  </w:t>
      </w:r>
    </w:p>
    <w:p w14:paraId="76196A76" w14:textId="2C4EAB8C" w:rsidR="006C72F0" w:rsidRPr="003C74F8" w:rsidRDefault="006C72F0" w:rsidP="006C72F0">
      <w:pPr>
        <w:ind w:firstLine="720"/>
        <w:jc w:val="both"/>
        <w:rPr>
          <w:rFonts w:ascii="Californian FB" w:hAnsi="Californian FB" w:cs="Times New Roman"/>
          <w:sz w:val="24"/>
          <w:szCs w:val="24"/>
        </w:rPr>
      </w:pPr>
      <w:r w:rsidRPr="003C74F8">
        <w:rPr>
          <w:rFonts w:ascii="Californian FB" w:hAnsi="Californian FB" w:cs="Times New Roman"/>
          <w:b/>
          <w:bCs/>
          <w:sz w:val="24"/>
          <w:szCs w:val="24"/>
        </w:rPr>
        <w:t xml:space="preserve">Rate Standards. </w:t>
      </w:r>
      <w:r w:rsidRPr="003C74F8">
        <w:rPr>
          <w:rFonts w:ascii="Californian FB" w:hAnsi="Californian FB" w:cs="Times New Roman"/>
          <w:sz w:val="24"/>
          <w:szCs w:val="24"/>
        </w:rPr>
        <w:t xml:space="preserve">How much will you have to pay for your statutory license?  Section 114 statutory license rates are set by the </w:t>
      </w:r>
      <w:hyperlink r:id="rId291" w:history="1">
        <w:r w:rsidRPr="003C74F8">
          <w:rPr>
            <w:rStyle w:val="Hyperlink"/>
            <w:rFonts w:ascii="Californian FB" w:hAnsi="Californian FB" w:cs="Times New Roman"/>
            <w:sz w:val="24"/>
            <w:szCs w:val="24"/>
          </w:rPr>
          <w:t>Copyright Royalty Board</w:t>
        </w:r>
      </w:hyperlink>
      <w:r w:rsidRPr="003C74F8">
        <w:rPr>
          <w:rFonts w:ascii="Californian FB" w:hAnsi="Californian FB" w:cs="Times New Roman"/>
          <w:sz w:val="24"/>
          <w:szCs w:val="24"/>
        </w:rPr>
        <w:t xml:space="preserve">, following standards established by statute.  As you might imagine, those standards and the resulting rates are a matter of great interest to the relevant industry participants, and have sometimes generated intense dispute.  One standard used in statutory licenses is the “willing buyer, willing seller” standard.  Under that standard, the Copyright Royalty Board has to try to estimate what the rate would be if the parties </w:t>
      </w:r>
      <w:r w:rsidRPr="003C74F8">
        <w:rPr>
          <w:rFonts w:ascii="Californian FB" w:hAnsi="Californian FB" w:cs="Times New Roman"/>
          <w:sz w:val="24"/>
          <w:szCs w:val="24"/>
        </w:rPr>
        <w:lastRenderedPageBreak/>
        <w:t>were bargaining in a competitive market – a task that is at least conceptually reasonably simple, if practically difficult.  An alternative statutory rate standard directs the Copyright Royalty Board to set rates in order to achieve four goals:</w:t>
      </w:r>
    </w:p>
    <w:p w14:paraId="481634BE" w14:textId="77777777" w:rsidR="006C72F0" w:rsidRPr="003C74F8" w:rsidRDefault="006C72F0" w:rsidP="003C74F8">
      <w:pPr>
        <w:pStyle w:val="Pa23"/>
        <w:ind w:left="810" w:right="360" w:hanging="450"/>
        <w:jc w:val="both"/>
        <w:rPr>
          <w:rFonts w:ascii="Californian FB" w:hAnsi="Californian FB" w:cs="Times New Roman"/>
          <w:color w:val="000000"/>
        </w:rPr>
      </w:pPr>
      <w:r w:rsidRPr="003C74F8">
        <w:rPr>
          <w:rFonts w:ascii="Californian FB" w:hAnsi="Californian FB" w:cs="Times New Roman"/>
          <w:color w:val="000000"/>
        </w:rPr>
        <w:t>(A) To maximize the availability of creative works to the public.</w:t>
      </w:r>
    </w:p>
    <w:p w14:paraId="16F22AE0" w14:textId="77777777" w:rsidR="006C72F0" w:rsidRPr="003C74F8" w:rsidRDefault="006C72F0" w:rsidP="003C74F8">
      <w:pPr>
        <w:pStyle w:val="Pa23"/>
        <w:ind w:left="810" w:right="360" w:hanging="450"/>
        <w:jc w:val="both"/>
        <w:rPr>
          <w:rFonts w:ascii="Californian FB" w:hAnsi="Californian FB" w:cs="Times New Roman"/>
          <w:color w:val="000000"/>
        </w:rPr>
      </w:pPr>
      <w:r w:rsidRPr="003C74F8">
        <w:rPr>
          <w:rFonts w:ascii="Californian FB" w:hAnsi="Californian FB" w:cs="Times New Roman"/>
          <w:color w:val="000000"/>
        </w:rPr>
        <w:t>(B) To afford the copyright owner a fair return for his or her creative work and the copyright user a fair income under existing economic conditions.</w:t>
      </w:r>
    </w:p>
    <w:p w14:paraId="6363A2A6" w14:textId="77777777" w:rsidR="006C72F0" w:rsidRPr="003C74F8" w:rsidRDefault="006C72F0" w:rsidP="003C74F8">
      <w:pPr>
        <w:pStyle w:val="Pa23"/>
        <w:ind w:left="810" w:right="360" w:hanging="450"/>
        <w:jc w:val="both"/>
        <w:rPr>
          <w:rFonts w:ascii="Californian FB" w:hAnsi="Californian FB" w:cs="Times New Roman"/>
          <w:color w:val="000000"/>
        </w:rPr>
      </w:pPr>
      <w:r w:rsidRPr="003C74F8">
        <w:rPr>
          <w:rFonts w:ascii="Californian FB" w:hAnsi="Californian FB" w:cs="Times New Roman"/>
          <w:color w:val="000000"/>
        </w:rPr>
        <w:t>(C) To reflect the relative roles of the copyright owner and the copyright user in the product made available to the public with respect to relative creative contribution, technological contribution, capital investment, cost, risk, and contribution to the opening of new markets for creative expres</w:t>
      </w:r>
      <w:r w:rsidRPr="003C74F8">
        <w:rPr>
          <w:rFonts w:ascii="Californian FB" w:hAnsi="Californian FB" w:cs="Times New Roman"/>
          <w:color w:val="000000"/>
        </w:rPr>
        <w:softHyphen/>
        <w:t>sion and media for their communication.</w:t>
      </w:r>
    </w:p>
    <w:p w14:paraId="00639AE4" w14:textId="77777777" w:rsidR="006C72F0" w:rsidRPr="003C74F8" w:rsidRDefault="006C72F0" w:rsidP="003C74F8">
      <w:pPr>
        <w:ind w:left="810" w:right="360" w:hanging="45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(D) To minimize any disruptive impact on the structure of the indus</w:t>
      </w:r>
      <w:r w:rsidRPr="003C74F8">
        <w:rPr>
          <w:rFonts w:ascii="Californian FB" w:hAnsi="Californian FB" w:cs="Times New Roman"/>
          <w:color w:val="000000"/>
          <w:sz w:val="24"/>
          <w:szCs w:val="24"/>
        </w:rPr>
        <w:softHyphen/>
        <w:t>tries involved and on generally prevailing industry practices.</w:t>
      </w:r>
    </w:p>
    <w:p w14:paraId="0839D57A" w14:textId="77777777"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color w:val="000000"/>
          <w:sz w:val="24"/>
          <w:szCs w:val="24"/>
        </w:rPr>
        <w:t>17 U.S.C. § 801(b)(1).  If you are guffawing and snorting at the absurdity of figuring out exactly what rate will perfectly accomplish all of those goals, then you are in good company – or at least in our company.  What you do need to know is that rates set under that four-part standard have historically been lower than rates set under the “willing buyer, willing seller” standard.  For many years, § 114 provided that the digital streaming services that were already in existence at the time the DPSA was enacted, such as SiriusXM, Mood Music (</w:t>
      </w:r>
      <w:proofErr w:type="spellStart"/>
      <w:r w:rsidRPr="003C74F8">
        <w:rPr>
          <w:rFonts w:ascii="Californian FB" w:hAnsi="Californian FB" w:cs="Times New Roman"/>
          <w:color w:val="000000"/>
          <w:sz w:val="24"/>
          <w:szCs w:val="24"/>
        </w:rPr>
        <w:t>Muzak</w:t>
      </w:r>
      <w:proofErr w:type="spellEnd"/>
      <w:r w:rsidRPr="003C74F8">
        <w:rPr>
          <w:rFonts w:ascii="Californian FB" w:hAnsi="Californian FB" w:cs="Times New Roman"/>
          <w:color w:val="000000"/>
          <w:sz w:val="24"/>
          <w:szCs w:val="24"/>
        </w:rPr>
        <w:t xml:space="preserve">), and Music Choice, had to pay rates determined under the four-part standard, while newer services had to pay rates under the “willing buyer, willing seller” standard.  </w:t>
      </w:r>
      <w:r w:rsidRPr="003C74F8">
        <w:rPr>
          <w:rFonts w:ascii="Californian FB" w:hAnsi="Californian FB" w:cs="Times New Roman"/>
          <w:i/>
          <w:iCs/>
          <w:color w:val="000000"/>
          <w:sz w:val="24"/>
          <w:szCs w:val="24"/>
        </w:rPr>
        <w:t xml:space="preserve">See </w:t>
      </w:r>
      <w:r w:rsidRPr="003C74F8">
        <w:rPr>
          <w:rFonts w:ascii="Californian FB" w:hAnsi="Californian FB" w:cs="Times New Roman"/>
          <w:color w:val="000000"/>
          <w:sz w:val="24"/>
          <w:szCs w:val="24"/>
        </w:rPr>
        <w:t xml:space="preserve">17 U.S.C. </w:t>
      </w:r>
      <w:r w:rsidRPr="003C74F8">
        <w:rPr>
          <w:rFonts w:ascii="Californian FB" w:hAnsi="Californian FB" w:cs="Times New Roman"/>
          <w:sz w:val="24"/>
          <w:szCs w:val="24"/>
        </w:rPr>
        <w:t xml:space="preserve">§ § 114(f)(1)(B), 114(f)(2)(B) (2018).  The MWMA, however, abolishes that distinction, and sets all rates using the “willing buyer, willing seller” standard,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 xml:space="preserve">MMA § 103(a)(1) (2018) – a change welcomed by recording companies and the newer digital streaming services, and which may be reflected in your monthly cable TV bill or subscription fee for SiriusXM in due course. </w:t>
      </w:r>
    </w:p>
    <w:p w14:paraId="2DBF6916" w14:textId="77777777"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sz w:val="24"/>
          <w:szCs w:val="24"/>
        </w:rPr>
        <w:tab/>
      </w:r>
      <w:r w:rsidRPr="003C74F8">
        <w:rPr>
          <w:rFonts w:ascii="Californian FB" w:hAnsi="Californian FB" w:cs="Times New Roman"/>
          <w:b/>
          <w:bCs/>
          <w:sz w:val="24"/>
          <w:szCs w:val="24"/>
        </w:rPr>
        <w:t xml:space="preserve">Distribution of Royalties.  </w:t>
      </w:r>
      <w:r w:rsidRPr="003C74F8">
        <w:rPr>
          <w:rFonts w:ascii="Californian FB" w:hAnsi="Californian FB" w:cs="Times New Roman"/>
          <w:sz w:val="24"/>
          <w:szCs w:val="24"/>
        </w:rPr>
        <w:t xml:space="preserve">There is one more thing you should know about the flow of royalties under § 114 statutory licenses, although it does not directly affect you if your only involvement is operating a streaming service.  Section 114 establishes </w:t>
      </w:r>
      <w:r w:rsidRPr="003C74F8">
        <w:rPr>
          <w:rFonts w:ascii="Californian FB" w:hAnsi="Californian FB" w:cs="Times New Roman"/>
          <w:i/>
          <w:iCs/>
          <w:sz w:val="24"/>
          <w:szCs w:val="24"/>
        </w:rPr>
        <w:t>by statute</w:t>
      </w:r>
      <w:r w:rsidRPr="003C74F8">
        <w:rPr>
          <w:rFonts w:ascii="Californian FB" w:hAnsi="Californian FB" w:cs="Times New Roman"/>
          <w:sz w:val="24"/>
          <w:szCs w:val="24"/>
        </w:rPr>
        <w:t xml:space="preserve"> how the royalties from § 114 licenses will be distributed among categories of industry participants: 50% to the owners of copyright in the sound recordings; 45% to featured recording artists (those individuals or groups most prominently featured on a recording); 2 ½% to a fund for nonfeatured musicians; and 2 ½% to a fund for nonfeatured vocalists.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17 U.S.C. § 114(g)(2).  That distribution is to be made regardless of any prior contractual arrangements.  That should give you a little pause – wow, whatever happened to freedom of contract?  However, it has its immediate precedent in the Audio Home Recording Act (discussed in the casebook main volume on pages 494-495), and its more distant precedent in the arrangements of the legacy PROs, ASCAP and BMI, which distribute 50% of musical work public performance royalties to music publishers, and the other 50% to individual composers and authors.</w:t>
      </w:r>
    </w:p>
    <w:p w14:paraId="232F48F3" w14:textId="77777777"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sz w:val="24"/>
          <w:szCs w:val="24"/>
        </w:rPr>
        <w:tab/>
        <w:t xml:space="preserve">Notice that the distribution set up in § 114(g) does not include any percentage for producers, mixers, or sound engineers (all of whom we will call “producers” here, for the sake of convenience).  That is the case even though it has been recognized since federal protection was granted to sound recordings that people who serve in those roles can make copyrightable contributions. Title III of the MMA, the Allocation for Music Producers Act (“AMP”), amends § </w:t>
      </w:r>
      <w:r w:rsidRPr="003C74F8">
        <w:rPr>
          <w:rFonts w:ascii="Californian FB" w:hAnsi="Californian FB" w:cs="Times New Roman"/>
          <w:sz w:val="24"/>
          <w:szCs w:val="24"/>
        </w:rPr>
        <w:lastRenderedPageBreak/>
        <w:t xml:space="preserve">114(g) to include some acknowledgement of producers, but that acknowledgement falls short of an unconditional mandate of a percentage of § 114 royalties.  Instead, AMP requires </w:t>
      </w:r>
      <w:proofErr w:type="spellStart"/>
      <w:r w:rsidRPr="003C74F8">
        <w:rPr>
          <w:rFonts w:ascii="Californian FB" w:hAnsi="Californian FB" w:cs="Times New Roman"/>
          <w:sz w:val="24"/>
          <w:szCs w:val="24"/>
        </w:rPr>
        <w:t>SoundExchange</w:t>
      </w:r>
      <w:proofErr w:type="spellEnd"/>
      <w:r w:rsidRPr="003C74F8">
        <w:rPr>
          <w:rFonts w:ascii="Californian FB" w:hAnsi="Californian FB" w:cs="Times New Roman"/>
          <w:sz w:val="24"/>
          <w:szCs w:val="24"/>
        </w:rPr>
        <w:t xml:space="preserve"> to make distributions of § 114 royalties to producers if directed to by the owners of copyright or by the featured artists (something that </w:t>
      </w:r>
      <w:proofErr w:type="spellStart"/>
      <w:r w:rsidRPr="003C74F8">
        <w:rPr>
          <w:rFonts w:ascii="Californian FB" w:hAnsi="Californian FB" w:cs="Times New Roman"/>
          <w:sz w:val="24"/>
          <w:szCs w:val="24"/>
        </w:rPr>
        <w:t>SoundExchange</w:t>
      </w:r>
      <w:proofErr w:type="spellEnd"/>
      <w:r w:rsidRPr="003C74F8">
        <w:rPr>
          <w:rFonts w:ascii="Californian FB" w:hAnsi="Californian FB" w:cs="Times New Roman"/>
          <w:sz w:val="24"/>
          <w:szCs w:val="24"/>
        </w:rPr>
        <w:t xml:space="preserve"> was already informally doing). It also creates a complicated scheme whereby producers may be able to get 2% of the § 114 royalties from pre-1995 sound recordings.  Those sound recordings, of course, are those that were made before digital audio transmission royalties existed, so that producers could not have anticipated such royalties and did not contract for them. However, AMP provides producers the 2% share only if they file a request asking for it, and only if the featured artists don’t object, so it is hardly a guarantee.</w:t>
      </w:r>
    </w:p>
    <w:p w14:paraId="680E664F" w14:textId="60FA4B6E"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sz w:val="24"/>
          <w:szCs w:val="24"/>
        </w:rPr>
        <w:tab/>
      </w:r>
      <w:r w:rsidRPr="003C74F8">
        <w:rPr>
          <w:rFonts w:ascii="Californian FB" w:hAnsi="Californian FB" w:cs="Times New Roman"/>
          <w:b/>
          <w:bCs/>
          <w:sz w:val="24"/>
          <w:szCs w:val="24"/>
        </w:rPr>
        <w:t xml:space="preserve">c. Negotiated licenses and interactive services.  </w:t>
      </w:r>
      <w:r w:rsidRPr="003C74F8">
        <w:rPr>
          <w:rFonts w:ascii="Californian FB" w:hAnsi="Californian FB" w:cs="Times New Roman"/>
          <w:sz w:val="24"/>
          <w:szCs w:val="24"/>
        </w:rPr>
        <w:t xml:space="preserve">Finally, if your streaming service is going to be an interactive service, or will otherwise fail to qualify for the statutory license, then you have to go to each recording company and negotiate licenses to stream the sound recordings in which they own copyright.  That is what on-demand streaming services – Spotify, Apple Music, Amazon Music Unlimited, Pandora Premium, You Tube Music, and others – all do. The recording industry is quite concentrated.  In 2018, the “Big Three” record labels accounted for 71% of global recording industry revenue, with Universal Music garnering 31%, Sony Music Entertainment 21%, and Warner Music 18%. </w:t>
      </w:r>
      <w:r w:rsidRPr="003C74F8">
        <w:rPr>
          <w:rFonts w:ascii="Californian FB" w:hAnsi="Californian FB" w:cs="Times New Roman"/>
          <w:i/>
          <w:iCs/>
          <w:sz w:val="24"/>
          <w:szCs w:val="24"/>
        </w:rPr>
        <w:t xml:space="preserve">See </w:t>
      </w:r>
      <w:hyperlink r:id="rId292" w:history="1">
        <w:r w:rsidRPr="003C74F8">
          <w:rPr>
            <w:rStyle w:val="Hyperlink"/>
            <w:rFonts w:ascii="Californian FB" w:hAnsi="Californian FB" w:cs="Times New Roman"/>
            <w:sz w:val="24"/>
            <w:szCs w:val="24"/>
          </w:rPr>
          <w:t>Mark Mulligan, 2018 Global Label Market Share: Stream Engine</w:t>
        </w:r>
      </w:hyperlink>
      <w:r w:rsidRPr="003C74F8">
        <w:rPr>
          <w:rFonts w:ascii="Californian FB" w:hAnsi="Californian FB" w:cs="Times New Roman"/>
          <w:sz w:val="24"/>
          <w:szCs w:val="24"/>
        </w:rPr>
        <w:t xml:space="preserve">.  That is in some sense an advantage: you will be able to stream a lot of songs without having to conclude dozens or hundreds of deals.  In another sense, however, it may be a disadvantage – if Universal Music knows that your service will have a huge gap without its catalog of recordings, it may drive a hard bargain. In some cases, the license agreements have included equity stakes in the streaming service, which, in the case of Spotify at least, turned out to be very lucrative for the recording industry.  </w:t>
      </w:r>
      <w:r w:rsidRPr="003C74F8">
        <w:rPr>
          <w:rFonts w:ascii="Californian FB" w:hAnsi="Californian FB" w:cs="Times New Roman"/>
          <w:i/>
          <w:iCs/>
          <w:sz w:val="24"/>
          <w:szCs w:val="24"/>
        </w:rPr>
        <w:t xml:space="preserve">See </w:t>
      </w:r>
      <w:hyperlink r:id="rId293" w:history="1">
        <w:r w:rsidRPr="003C74F8">
          <w:rPr>
            <w:rStyle w:val="Hyperlink"/>
            <w:rFonts w:ascii="Californian FB" w:hAnsi="Californian FB" w:cs="Times New Roman"/>
            <w:sz w:val="24"/>
            <w:szCs w:val="24"/>
          </w:rPr>
          <w:t>Lucas Shaw, Record Labels Reap More Than $1 Billion Selling Spotify Stakes, Bloomberg Quint, May 7, 2018</w:t>
        </w:r>
      </w:hyperlink>
      <w:r w:rsidRPr="003C74F8">
        <w:rPr>
          <w:rFonts w:ascii="Californian FB" w:hAnsi="Californian FB" w:cs="Times New Roman"/>
          <w:sz w:val="24"/>
          <w:szCs w:val="24"/>
        </w:rPr>
        <w:t xml:space="preserve">.  In 2018, paid subscriptions to on-demand streams were the single most important source of recording industry revenues, generating about $5.4 billion, over half of the total industry revenues of $9.8 billion, and over three-quarters of total revenues from streaming. Advertising-supported free on-demand services like Spotify Free added an additional $760 million in revenue. </w:t>
      </w:r>
      <w:r w:rsidRPr="003C74F8">
        <w:rPr>
          <w:rFonts w:ascii="Californian FB" w:hAnsi="Californian FB" w:cs="Times New Roman"/>
          <w:i/>
          <w:iCs/>
          <w:sz w:val="24"/>
          <w:szCs w:val="24"/>
        </w:rPr>
        <w:t xml:space="preserve">See </w:t>
      </w:r>
      <w:hyperlink r:id="rId294" w:history="1">
        <w:r w:rsidRPr="003C74F8">
          <w:rPr>
            <w:rStyle w:val="Hyperlink"/>
            <w:rFonts w:ascii="Californian FB" w:hAnsi="Californian FB" w:cs="Times New Roman"/>
            <w:sz w:val="24"/>
            <w:szCs w:val="24"/>
          </w:rPr>
          <w:t>RIAA 2018 Report</w:t>
        </w:r>
      </w:hyperlink>
      <w:r w:rsidRPr="003C74F8">
        <w:rPr>
          <w:rFonts w:ascii="Californian FB" w:hAnsi="Californian FB" w:cs="Times New Roman"/>
          <w:sz w:val="24"/>
          <w:szCs w:val="24"/>
        </w:rPr>
        <w:t>.</w:t>
      </w:r>
      <w:r w:rsidRPr="003C74F8">
        <w:rPr>
          <w:rFonts w:ascii="Californian FB" w:hAnsi="Californian FB" w:cs="Times New Roman"/>
          <w:sz w:val="24"/>
          <w:szCs w:val="24"/>
        </w:rPr>
        <w:tab/>
      </w:r>
    </w:p>
    <w:p w14:paraId="0B77C699" w14:textId="77777777"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sz w:val="24"/>
          <w:szCs w:val="24"/>
        </w:rPr>
        <w:tab/>
      </w:r>
      <w:r w:rsidRPr="003C74F8">
        <w:rPr>
          <w:rFonts w:ascii="Californian FB" w:hAnsi="Californian FB" w:cs="Times New Roman"/>
          <w:b/>
          <w:bCs/>
          <w:sz w:val="24"/>
          <w:szCs w:val="24"/>
        </w:rPr>
        <w:t xml:space="preserve">2. Streaming and Paying for Musical Works.  </w:t>
      </w:r>
      <w:r w:rsidRPr="003C74F8">
        <w:rPr>
          <w:rFonts w:ascii="Californian FB" w:hAnsi="Californian FB" w:cs="Times New Roman"/>
          <w:sz w:val="24"/>
          <w:szCs w:val="24"/>
        </w:rPr>
        <w:t>If you have figured out how to pay for the sound recordings you want to stream, you are doing well, but you are only halfway done.  You also have to pay for the musical works.  Even though many songs today have never been “notated” (that is, written out in sheet music), because they were created as sound recordings in a recording studio, the ghost of sheet music inhabits each sound recording.  For every musical sound recording digitally streamed you have to pay separately for the sound recording (unless you are exempt as discussed above) and the musical work, even if the composer and the performer are the same person.  And if that doesn’t have you tearing out your hair, we will see that the MWMA makes interactive streaming services pay twice for a single stream of a single musical work.</w:t>
      </w:r>
    </w:p>
    <w:p w14:paraId="0D0A87F1" w14:textId="77777777" w:rsidR="006C72F0" w:rsidRPr="003C74F8" w:rsidRDefault="006C72F0" w:rsidP="006C72F0">
      <w:pPr>
        <w:jc w:val="both"/>
        <w:rPr>
          <w:rFonts w:ascii="Californian FB" w:hAnsi="Californian FB" w:cs="Times New Roman"/>
          <w:color w:val="000000"/>
          <w:sz w:val="24"/>
          <w:szCs w:val="24"/>
        </w:rPr>
      </w:pPr>
      <w:r w:rsidRPr="003C74F8">
        <w:rPr>
          <w:rFonts w:ascii="Californian FB" w:hAnsi="Californian FB" w:cs="Times New Roman"/>
          <w:sz w:val="24"/>
          <w:szCs w:val="24"/>
        </w:rPr>
        <w:tab/>
      </w:r>
      <w:r w:rsidRPr="003C74F8">
        <w:rPr>
          <w:rFonts w:ascii="Californian FB" w:hAnsi="Californian FB" w:cs="Times New Roman"/>
          <w:b/>
          <w:bCs/>
          <w:sz w:val="24"/>
          <w:szCs w:val="24"/>
        </w:rPr>
        <w:t xml:space="preserve">a. </w:t>
      </w:r>
      <w:proofErr w:type="gramStart"/>
      <w:r w:rsidRPr="003C74F8">
        <w:rPr>
          <w:rFonts w:ascii="Californian FB" w:hAnsi="Californian FB" w:cs="Times New Roman"/>
          <w:b/>
          <w:bCs/>
          <w:sz w:val="24"/>
          <w:szCs w:val="24"/>
        </w:rPr>
        <w:t>Public</w:t>
      </w:r>
      <w:proofErr w:type="gramEnd"/>
      <w:r w:rsidRPr="003C74F8">
        <w:rPr>
          <w:rFonts w:ascii="Californian FB" w:hAnsi="Californian FB" w:cs="Times New Roman"/>
          <w:b/>
          <w:bCs/>
          <w:sz w:val="24"/>
          <w:szCs w:val="24"/>
        </w:rPr>
        <w:t xml:space="preserve"> performance rights and </w:t>
      </w:r>
      <w:proofErr w:type="spellStart"/>
      <w:r w:rsidRPr="003C74F8">
        <w:rPr>
          <w:rFonts w:ascii="Californian FB" w:hAnsi="Californian FB" w:cs="Times New Roman"/>
          <w:b/>
          <w:bCs/>
          <w:sz w:val="24"/>
          <w:szCs w:val="24"/>
        </w:rPr>
        <w:t>PROs.</w:t>
      </w:r>
      <w:proofErr w:type="spellEnd"/>
      <w:r w:rsidRPr="003C74F8">
        <w:rPr>
          <w:rFonts w:ascii="Californian FB" w:hAnsi="Californian FB" w:cs="Times New Roman"/>
          <w:b/>
          <w:bCs/>
          <w:sz w:val="24"/>
          <w:szCs w:val="24"/>
        </w:rPr>
        <w:t xml:space="preserve">  </w:t>
      </w:r>
      <w:r w:rsidRPr="003C74F8">
        <w:rPr>
          <w:rFonts w:ascii="Californian FB" w:hAnsi="Californian FB" w:cs="Times New Roman"/>
          <w:sz w:val="24"/>
          <w:szCs w:val="24"/>
        </w:rPr>
        <w:t xml:space="preserve">All streaming services must pay for public performance rights for the musical works they stream.  This is a continuation of the oldest of music licensing traditions, under which theaters, restaurants, and other public venues, as well as radio and television stations, must pay for the musical works that they publicly perform. The </w:t>
      </w:r>
      <w:r w:rsidRPr="003C74F8">
        <w:rPr>
          <w:rFonts w:ascii="Californian FB" w:hAnsi="Californian FB" w:cs="Times New Roman"/>
          <w:sz w:val="24"/>
          <w:szCs w:val="24"/>
        </w:rPr>
        <w:lastRenderedPageBreak/>
        <w:t xml:space="preserve">entities that grant most public performance licenses and collect fees for streaming are the same performing rights organizations that we introduced in the previous section of this chapter – ASCAP, BMI, SESAC, and GMR – which act on behalf of composers, authors, and music publishers.  Recall that in case of dispute, the rates charged by ASCAP and BMI are set, not by the Copyright Royalty Board, but by the U.S. District Court for the Southern District of New York (“SDNY”), a legacy of an antitrust consent decree dating from the 1940s. However, </w:t>
      </w:r>
      <w:r w:rsidRPr="003C74F8">
        <w:rPr>
          <w:rFonts w:ascii="Californian FB" w:hAnsi="Californian FB" w:cs="Times New Roman"/>
          <w:color w:val="000000"/>
          <w:sz w:val="24"/>
          <w:szCs w:val="24"/>
        </w:rPr>
        <w:t xml:space="preserve">§ 114 does have something to say about how that court must set rates for public performances of streamed musical works.  </w:t>
      </w:r>
    </w:p>
    <w:p w14:paraId="680DF068"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Back in 1995 when the DPSA first established the digital audio transmission right for sound recordings, music publishers were afraid that streaming services might convince the court that ASCAP and BMI rates should be lower, now that streaming services were going to be paying for both sound recordings and musical works.  They therefore successfully lobbied for § 114(</w:t>
      </w:r>
      <w:proofErr w:type="spellStart"/>
      <w:r w:rsidRPr="003C74F8">
        <w:rPr>
          <w:rFonts w:ascii="Californian FB" w:hAnsi="Californian FB" w:cs="Times New Roman"/>
          <w:color w:val="000000"/>
          <w:sz w:val="24"/>
          <w:szCs w:val="24"/>
        </w:rPr>
        <w:t>i</w:t>
      </w:r>
      <w:proofErr w:type="spellEnd"/>
      <w:r w:rsidRPr="003C74F8">
        <w:rPr>
          <w:rFonts w:ascii="Californian FB" w:hAnsi="Californian FB" w:cs="Times New Roman"/>
          <w:color w:val="000000"/>
          <w:sz w:val="24"/>
          <w:szCs w:val="24"/>
        </w:rPr>
        <w:t>), which prohibited the court from considering royalties that streaming services paid for sound recordings when determining rates to be paid ASCAP and BMI for musical works.  Be careful what you ask for. With § 114(</w:t>
      </w:r>
      <w:proofErr w:type="spellStart"/>
      <w:r w:rsidRPr="003C74F8">
        <w:rPr>
          <w:rFonts w:ascii="Californian FB" w:hAnsi="Californian FB" w:cs="Times New Roman"/>
          <w:color w:val="000000"/>
          <w:sz w:val="24"/>
          <w:szCs w:val="24"/>
        </w:rPr>
        <w:t>i</w:t>
      </w:r>
      <w:proofErr w:type="spellEnd"/>
      <w:r w:rsidRPr="003C74F8">
        <w:rPr>
          <w:rFonts w:ascii="Californian FB" w:hAnsi="Californian FB" w:cs="Times New Roman"/>
          <w:color w:val="000000"/>
          <w:sz w:val="24"/>
          <w:szCs w:val="24"/>
        </w:rPr>
        <w:t>) in place, recording companies were able to get the Copyright Royalty Board to set higher rates for sound recordings than music publishers could get the SDNY to set for musical works.  Music publishers would have liked to show the SDNY that the sound recording rates were higher, but the very provision for which they lobbied – § 114(</w:t>
      </w:r>
      <w:proofErr w:type="spellStart"/>
      <w:r w:rsidRPr="003C74F8">
        <w:rPr>
          <w:rFonts w:ascii="Californian FB" w:hAnsi="Californian FB" w:cs="Times New Roman"/>
          <w:color w:val="000000"/>
          <w:sz w:val="24"/>
          <w:szCs w:val="24"/>
        </w:rPr>
        <w:t>i</w:t>
      </w:r>
      <w:proofErr w:type="spellEnd"/>
      <w:r w:rsidRPr="003C74F8">
        <w:rPr>
          <w:rFonts w:ascii="Californian FB" w:hAnsi="Californian FB" w:cs="Times New Roman"/>
          <w:color w:val="000000"/>
          <w:sz w:val="24"/>
          <w:szCs w:val="24"/>
        </w:rPr>
        <w:t>) – prevented them from doing so.  Thus, they went back to Congress, and lobbied for Congress to replace § 114(</w:t>
      </w:r>
      <w:proofErr w:type="spellStart"/>
      <w:r w:rsidRPr="003C74F8">
        <w:rPr>
          <w:rFonts w:ascii="Californian FB" w:hAnsi="Californian FB" w:cs="Times New Roman"/>
          <w:color w:val="000000"/>
          <w:sz w:val="24"/>
          <w:szCs w:val="24"/>
        </w:rPr>
        <w:t>i</w:t>
      </w:r>
      <w:proofErr w:type="spellEnd"/>
      <w:r w:rsidRPr="003C74F8">
        <w:rPr>
          <w:rFonts w:ascii="Californian FB" w:hAnsi="Californian FB" w:cs="Times New Roman"/>
          <w:color w:val="000000"/>
          <w:sz w:val="24"/>
          <w:szCs w:val="24"/>
        </w:rPr>
        <w:t>) with a provision that allowed the SDNY to consider rates for sound recordings when setting rates for musical works in conjunction with digital audio transmissions.  Sections 103 (b) and (c) of the MWMA do just that.</w:t>
      </w:r>
    </w:p>
    <w:p w14:paraId="79CCA709" w14:textId="3346C348" w:rsidR="006C72F0" w:rsidRPr="003C74F8" w:rsidRDefault="006C72F0" w:rsidP="006C72F0">
      <w:pPr>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ab/>
      </w:r>
      <w:r w:rsidRPr="003C74F8">
        <w:rPr>
          <w:rFonts w:ascii="Californian FB" w:hAnsi="Californian FB" w:cs="Times New Roman"/>
          <w:b/>
          <w:bCs/>
          <w:color w:val="000000"/>
          <w:sz w:val="24"/>
          <w:szCs w:val="24"/>
        </w:rPr>
        <w:t xml:space="preserve">b. Mechanical licenses for interactive streaming. </w:t>
      </w:r>
      <w:r w:rsidRPr="003C74F8">
        <w:rPr>
          <w:rFonts w:ascii="Californian FB" w:hAnsi="Californian FB" w:cs="Times New Roman"/>
          <w:color w:val="000000"/>
          <w:sz w:val="24"/>
          <w:szCs w:val="24"/>
        </w:rPr>
        <w:t xml:space="preserve"> Section 115, you will recall, creates the oldest statutory license in the Copyright Act, dating from 1909. Historically, it has applied to the activity of making and distributing phonorecords containing “covers” of musical works – not the first recording of a musical work released (like </w:t>
      </w:r>
      <w:hyperlink r:id="rId295" w:history="1">
        <w:r w:rsidRPr="003C74F8">
          <w:rPr>
            <w:rStyle w:val="Hyperlink"/>
            <w:rFonts w:ascii="Californian FB" w:hAnsi="Californian FB" w:cs="Times New Roman"/>
            <w:sz w:val="24"/>
            <w:szCs w:val="24"/>
          </w:rPr>
          <w:t>Toto’s 1982 recording of “Africa”</w:t>
        </w:r>
      </w:hyperlink>
      <w:r w:rsidRPr="003C74F8">
        <w:rPr>
          <w:rFonts w:ascii="Californian FB" w:hAnsi="Californian FB" w:cs="Times New Roman"/>
          <w:color w:val="000000"/>
          <w:sz w:val="24"/>
          <w:szCs w:val="24"/>
        </w:rPr>
        <w:t xml:space="preserve">), but the second or third or hundredth (like </w:t>
      </w:r>
      <w:hyperlink r:id="rId296" w:history="1">
        <w:proofErr w:type="spellStart"/>
        <w:r w:rsidRPr="003C74F8">
          <w:rPr>
            <w:rStyle w:val="Hyperlink"/>
            <w:rFonts w:ascii="Californian FB" w:hAnsi="Californian FB" w:cs="Times New Roman"/>
            <w:sz w:val="24"/>
            <w:szCs w:val="24"/>
          </w:rPr>
          <w:t>Weezer’s</w:t>
        </w:r>
        <w:proofErr w:type="spellEnd"/>
        <w:r w:rsidRPr="003C74F8">
          <w:rPr>
            <w:rStyle w:val="Hyperlink"/>
            <w:rFonts w:ascii="Californian FB" w:hAnsi="Californian FB" w:cs="Times New Roman"/>
            <w:sz w:val="24"/>
            <w:szCs w:val="24"/>
          </w:rPr>
          <w:t xml:space="preserve"> 2018 recording of that song</w:t>
        </w:r>
      </w:hyperlink>
      <w:r w:rsidRPr="003C74F8">
        <w:rPr>
          <w:rFonts w:ascii="Californian FB" w:hAnsi="Californian FB" w:cs="Times New Roman"/>
          <w:color w:val="000000"/>
          <w:sz w:val="24"/>
          <w:szCs w:val="24"/>
        </w:rPr>
        <w:t>).  Thus, if you want to make and distribute CDs – or cassettes or vinyl or music boxes – that contain a new sound recording of a musical work, and another recording of that musical work has already been released, then you do not have to negotiate with the owner of copyright in that musical work for a license.  Rather, you can take advantage of the § 115 statutory license, and pay a statutory fee (now also set by the Copyright Royalty Board).  That license is known colloquially as the “mechanical license” because it historically pertained to making objects that could be played on machines like record players, player pianos, and music boxes.</w:t>
      </w:r>
    </w:p>
    <w:p w14:paraId="3B30FBA2"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In 1995, the DPSA amended § 115 to provide that the mechanical statutory license also covered “digital phonorecord deliveries.”  That term clearly encompassed permanent downloads, which made sense.  When someone purchases and downloads a song from a service like iTunes, that purchaser obtains possession of a permanent copy (technically speaking, a phonorecord) of a sound recording of a musical work.  Having possession of that permanent copy on a computer (as a file residing on the hard drive), or on a phone or an iPod, is very similar to having possession of a permanent copy on a CD.</w:t>
      </w:r>
    </w:p>
    <w:p w14:paraId="613236F6"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lastRenderedPageBreak/>
        <w:t xml:space="preserve">If download services like iTunes have to pay for mechanical licenses, do streaming services also have to pay for mechanical licenses?  Should the term “digital phonorecord delivery” be read to include streaming?  If you followed the traditional logic of the exclusive rights, what would your answer be?  Before reading any further, we suggest that you consider that question while perusing the list of exclusive rights in § 106.  </w:t>
      </w:r>
    </w:p>
    <w:p w14:paraId="16E19F05" w14:textId="089D693B" w:rsidR="002F2BAD" w:rsidRPr="00CE3ED3" w:rsidRDefault="006C72F0" w:rsidP="002F2BAD">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Done that?  Here’s where we think the traditional logic would lead.  Mechanical licenses are associated with the reproduction and distribution rights. They are all about making permanent copies.  Streaming services provide performances of sound recordings and musical works, not permanent copies.  Therefore, they should therefore implicate only the public performance right, and should require public performance licenses, not mechanical licenses.  Reproduction and performance, as we have considered them up until now in this casebook, are simply two different things.</w:t>
      </w:r>
      <w:r w:rsidR="0065523B">
        <w:rPr>
          <w:rFonts w:ascii="Californian FB" w:hAnsi="Californian FB" w:cs="Times New Roman"/>
          <w:color w:val="000000"/>
          <w:sz w:val="24"/>
          <w:szCs w:val="24"/>
        </w:rPr>
        <w:t xml:space="preserve"> </w:t>
      </w:r>
      <w:r w:rsidR="00CE3ED3">
        <w:rPr>
          <w:rFonts w:ascii="Californian FB" w:hAnsi="Californian FB" w:cs="Times New Roman"/>
          <w:color w:val="000000"/>
          <w:sz w:val="24"/>
          <w:szCs w:val="24"/>
        </w:rPr>
        <w:t>True,</w:t>
      </w:r>
      <w:r w:rsidR="0065523B">
        <w:rPr>
          <w:rFonts w:ascii="Californian FB" w:hAnsi="Californian FB" w:cs="Times New Roman"/>
          <w:color w:val="000000"/>
          <w:sz w:val="24"/>
          <w:szCs w:val="24"/>
        </w:rPr>
        <w:t xml:space="preserve"> unlike traditional analog broadcasting, streaming over the internet requires making “buffer copies” that may be in existence for a few seconds.  Recall, however, that in </w:t>
      </w:r>
      <w:r w:rsidR="0065523B">
        <w:rPr>
          <w:rFonts w:ascii="Californian FB" w:hAnsi="Californian FB" w:cs="Times New Roman"/>
          <w:i/>
          <w:iCs/>
          <w:color w:val="000000"/>
          <w:sz w:val="24"/>
          <w:szCs w:val="24"/>
        </w:rPr>
        <w:t>Cartoon Network LLLP v. CSC Holdings, Inc.</w:t>
      </w:r>
      <w:r w:rsidR="0065523B">
        <w:rPr>
          <w:rFonts w:ascii="Californian FB" w:hAnsi="Californian FB" w:cs="Times New Roman"/>
          <w:color w:val="000000"/>
          <w:sz w:val="24"/>
          <w:szCs w:val="24"/>
        </w:rPr>
        <w:t>, 536 F.3d 121 (2d Cir. 2008) (p. 37 in the Second Edition of this casebook), the Second Circuit held that such buffer copies should not be consider “fixed” within the meaning of the Copyright Act, and therefore do not implicate the reproduction right.</w:t>
      </w:r>
      <w:r w:rsidR="00CE3ED3">
        <w:rPr>
          <w:rFonts w:ascii="Californian FB" w:hAnsi="Californian FB" w:cs="Times New Roman"/>
          <w:color w:val="000000"/>
          <w:sz w:val="24"/>
          <w:szCs w:val="24"/>
        </w:rPr>
        <w:t xml:space="preserve">  </w:t>
      </w:r>
      <w:r w:rsidR="00E07F01">
        <w:rPr>
          <w:rFonts w:ascii="Californian FB" w:hAnsi="Californian FB" w:cs="Times New Roman"/>
          <w:color w:val="000000"/>
          <w:sz w:val="24"/>
          <w:szCs w:val="24"/>
        </w:rPr>
        <w:t>You may also be aware</w:t>
      </w:r>
      <w:r w:rsidR="00CE3ED3">
        <w:rPr>
          <w:rFonts w:ascii="Californian FB" w:hAnsi="Californian FB" w:cs="Times New Roman"/>
          <w:color w:val="000000"/>
          <w:sz w:val="24"/>
          <w:szCs w:val="24"/>
        </w:rPr>
        <w:t xml:space="preserve"> that some streaming services </w:t>
      </w:r>
      <w:r w:rsidR="00E07F01">
        <w:rPr>
          <w:rFonts w:ascii="Californian FB" w:hAnsi="Californian FB" w:cs="Times New Roman"/>
          <w:color w:val="000000"/>
          <w:sz w:val="24"/>
          <w:szCs w:val="24"/>
        </w:rPr>
        <w:t xml:space="preserve">use digital rights management to </w:t>
      </w:r>
      <w:r w:rsidR="00CE3ED3">
        <w:rPr>
          <w:rFonts w:ascii="Californian FB" w:hAnsi="Californian FB" w:cs="Times New Roman"/>
          <w:color w:val="000000"/>
          <w:sz w:val="24"/>
          <w:szCs w:val="24"/>
        </w:rPr>
        <w:t>blur the distinction between reproduction and performance</w:t>
      </w:r>
      <w:r w:rsidR="00E07F01">
        <w:rPr>
          <w:rFonts w:ascii="Californian FB" w:hAnsi="Californian FB" w:cs="Times New Roman"/>
          <w:color w:val="000000"/>
          <w:sz w:val="24"/>
          <w:szCs w:val="24"/>
        </w:rPr>
        <w:t>. For example,</w:t>
      </w:r>
      <w:r w:rsidR="00CE3ED3">
        <w:rPr>
          <w:rFonts w:ascii="Californian FB" w:hAnsi="Californian FB" w:cs="Times New Roman"/>
          <w:color w:val="000000"/>
          <w:sz w:val="24"/>
          <w:szCs w:val="24"/>
        </w:rPr>
        <w:t xml:space="preserve"> Spotify, Apple Music, and Amazon all offer some subscribers the opportunity to listen to songs offline.  That feature requires having a copy (technically, a phonorecord) of the song on your device, and that copy may </w:t>
      </w:r>
      <w:r w:rsidR="00E07F01">
        <w:rPr>
          <w:rFonts w:ascii="Californian FB" w:hAnsi="Californian FB" w:cs="Times New Roman"/>
          <w:color w:val="000000"/>
          <w:sz w:val="24"/>
          <w:szCs w:val="24"/>
        </w:rPr>
        <w:t>stay</w:t>
      </w:r>
      <w:r w:rsidR="00CE3ED3">
        <w:rPr>
          <w:rFonts w:ascii="Californian FB" w:hAnsi="Californian FB" w:cs="Times New Roman"/>
          <w:color w:val="000000"/>
          <w:sz w:val="24"/>
          <w:szCs w:val="24"/>
        </w:rPr>
        <w:t xml:space="preserve"> on the device for days or months – long enough that the </w:t>
      </w:r>
      <w:r w:rsidR="00CE3ED3">
        <w:rPr>
          <w:rFonts w:ascii="Californian FB" w:hAnsi="Californian FB" w:cs="Times New Roman"/>
          <w:i/>
          <w:iCs/>
          <w:color w:val="000000"/>
          <w:sz w:val="24"/>
          <w:szCs w:val="24"/>
        </w:rPr>
        <w:t xml:space="preserve">Cartoon Network </w:t>
      </w:r>
      <w:r w:rsidR="00CE3ED3">
        <w:rPr>
          <w:rFonts w:ascii="Californian FB" w:hAnsi="Californian FB" w:cs="Times New Roman"/>
          <w:color w:val="000000"/>
          <w:sz w:val="24"/>
          <w:szCs w:val="24"/>
        </w:rPr>
        <w:t xml:space="preserve">court would undoubtedly deem it to be “fixed,” and therefore to implicate the reproduction right. </w:t>
      </w:r>
      <w:r w:rsidR="002F2BAD">
        <w:rPr>
          <w:rFonts w:ascii="Californian FB" w:hAnsi="Californian FB" w:cs="Times New Roman"/>
          <w:color w:val="000000"/>
          <w:sz w:val="24"/>
          <w:szCs w:val="24"/>
        </w:rPr>
        <w:t xml:space="preserve">While such a copy will be unplayable if your streaming subscription lapses – that’s the DRM protection that makes it a little different than a copy that is owned outright – it is extremely unlikely that a court would hold that the copy is not fixed merely because it may become inaccessible at some point in the future. However, </w:t>
      </w:r>
      <w:r w:rsidR="00E07F01">
        <w:rPr>
          <w:rFonts w:ascii="Californian FB" w:hAnsi="Californian FB" w:cs="Times New Roman"/>
          <w:color w:val="000000"/>
          <w:sz w:val="24"/>
          <w:szCs w:val="24"/>
        </w:rPr>
        <w:t xml:space="preserve">under </w:t>
      </w:r>
      <w:r w:rsidR="002F2BAD">
        <w:rPr>
          <w:rFonts w:ascii="Californian FB" w:hAnsi="Californian FB" w:cs="Times New Roman"/>
          <w:color w:val="000000"/>
          <w:sz w:val="24"/>
          <w:szCs w:val="24"/>
        </w:rPr>
        <w:t>the MMA</w:t>
      </w:r>
      <w:r w:rsidR="00E07F01">
        <w:rPr>
          <w:rFonts w:ascii="Californian FB" w:hAnsi="Californian FB" w:cs="Times New Roman"/>
          <w:color w:val="000000"/>
          <w:sz w:val="24"/>
          <w:szCs w:val="24"/>
        </w:rPr>
        <w:t xml:space="preserve">, all interactive streaming is treated as reproduction requiring mechanical licensing, whether or not </w:t>
      </w:r>
      <w:r w:rsidR="00892347">
        <w:rPr>
          <w:rFonts w:ascii="Californian FB" w:hAnsi="Californian FB" w:cs="Times New Roman"/>
          <w:color w:val="000000"/>
          <w:sz w:val="24"/>
          <w:szCs w:val="24"/>
        </w:rPr>
        <w:t>offline listening is available.  As a purely conceptual matter, that may leave you scratching your head.</w:t>
      </w:r>
      <w:r w:rsidR="00E07F01">
        <w:rPr>
          <w:rFonts w:ascii="Californian FB" w:hAnsi="Californian FB" w:cs="Times New Roman"/>
          <w:color w:val="000000"/>
          <w:sz w:val="24"/>
          <w:szCs w:val="24"/>
        </w:rPr>
        <w:t xml:space="preserve"> </w:t>
      </w:r>
    </w:p>
    <w:p w14:paraId="0E754BEE"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Conceptual coherence aside, however, there are at least two practical considerations that could weigh in favor of making interactive streaming subject to a mechanical license as well as a public performance license.  First, as long as you have a good broadband internet connection, on-demand streaming is, from the user experience perspective, indistinguishable from playing a local copy. You can play the same song 50 times in a row on Spotify or Amazon Music Unlimited, just as you can if you have that song on your phone as an iTunes download or if you own a physical CD of the song.  Therefore, on-demand streaming will likely substitute for owning copies, drying up traditional mechanical license fees, and there should perhaps be a replacement stream of income derived from a user’s “access to a song whenever (and however much) I want it” experience.  </w:t>
      </w:r>
    </w:p>
    <w:p w14:paraId="44EEAF25" w14:textId="3CBE79CC"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Second, and just as importantly, mechanical license royalties have traditionally been set, collected, and distributed quite differently from public performance royalties. Public performance royalties go through ASCAP and BMI, with all of their antitrust history and court-determined rates, and are split 50/50 between publishers and songwriters.  Mechanical license royalties go </w:t>
      </w:r>
      <w:r w:rsidRPr="003C74F8">
        <w:rPr>
          <w:rFonts w:ascii="Californian FB" w:hAnsi="Californian FB" w:cs="Times New Roman"/>
          <w:color w:val="000000"/>
          <w:sz w:val="24"/>
          <w:szCs w:val="24"/>
        </w:rPr>
        <w:lastRenderedPageBreak/>
        <w:t xml:space="preserve">through either the Harry Fox Association or the Copyright Office, with rates determined by the Copyright Royalty Board or its predecessors, and 100% of those royalties go initially to music publishers, to be further distributed by them according to their contractual obligations.  If no mechanical royalties are due from on-demand streams, then as listeners migrate from buying copies to on-demand streaming, a larger and larger percentage of revenue is channeled through PROs, and is subject to court-supervised rates and the 50/50 split.  Moreover, under the antitrust consent decree, ASCAP and BMI have to continue to provide access to their catalogs while a rate dispute is being litigated, even though no royalties will be paid until the judgment is issued. </w:t>
      </w:r>
      <w:r w:rsidRPr="003C74F8">
        <w:rPr>
          <w:rFonts w:ascii="Californian FB" w:hAnsi="Californian FB" w:cs="Times New Roman"/>
          <w:i/>
          <w:iCs/>
          <w:color w:val="000000"/>
          <w:sz w:val="24"/>
          <w:szCs w:val="24"/>
        </w:rPr>
        <w:t xml:space="preserve">See </w:t>
      </w:r>
      <w:hyperlink r:id="rId297" w:history="1">
        <w:r w:rsidRPr="003C74F8">
          <w:rPr>
            <w:rStyle w:val="Hyperlink"/>
            <w:rFonts w:ascii="Californian FB" w:hAnsi="Californian FB" w:cs="Times New Roman"/>
            <w:sz w:val="24"/>
            <w:szCs w:val="24"/>
          </w:rPr>
          <w:t>U.S. Copyright Office, Copyright and the Music Marketplace 94 (2015).</w:t>
        </w:r>
      </w:hyperlink>
      <w:r w:rsidRPr="003C74F8">
        <w:rPr>
          <w:rFonts w:ascii="Californian FB" w:hAnsi="Californian FB" w:cs="Times New Roman"/>
          <w:color w:val="000000"/>
          <w:sz w:val="24"/>
          <w:szCs w:val="24"/>
        </w:rPr>
        <w:t xml:space="preserve">That means that if streaming giants like Spotify and Apple Music dispute rates, a very substantial percentage of public performance revenue to music publishers could be significantly delayed. </w:t>
      </w:r>
    </w:p>
    <w:p w14:paraId="13C1F570"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However, there is an enormous practical problem to making on-demand streaming subject to mechanical licenses. The entire administrative machinery set up for handling mechanical licensing was based on the assumption that no one would be seeking to obtain more than about a dozen licenses at one time.  Historically, that assumption held true: If you were a musician who wanted to release a CD (or a downloadable album) of cover versions of songs composed by others, then you might need, at most, 10 or 12 mechanical licenses. If, however, you are Spotify or Apple Music, and you are setting up an on-demand streaming service, and that service is held to be subject to mechanical licensing, you will need</w:t>
      </w:r>
      <w:r w:rsidRPr="003C74F8">
        <w:rPr>
          <w:rFonts w:ascii="Californian FB" w:hAnsi="Californian FB" w:cs="Times New Roman"/>
          <w:i/>
          <w:iCs/>
          <w:color w:val="000000"/>
          <w:sz w:val="24"/>
          <w:szCs w:val="24"/>
        </w:rPr>
        <w:t xml:space="preserve"> millions</w:t>
      </w:r>
      <w:r w:rsidRPr="003C74F8">
        <w:rPr>
          <w:rFonts w:ascii="Californian FB" w:hAnsi="Californian FB" w:cs="Times New Roman"/>
          <w:color w:val="000000"/>
          <w:sz w:val="24"/>
          <w:szCs w:val="24"/>
        </w:rPr>
        <w:t xml:space="preserve"> of mechanical licenses.  (As of this writing, Spotify claims to have a library of about 35 million songs, and Apple Music claims to have about 45 million.)  To make matters worse, while, as we noted above, the recording industry is quite concentrated, with almost three-quarters of annual revenue in the hands of the “Big Three,” the music publishing industry is somewhat less concentrated, and many of the mechanical licenses will be for older musical works whose copyright owners are very difficult to ascertain and locate.  </w:t>
      </w:r>
    </w:p>
    <w:p w14:paraId="12F178BF"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Because of the legal uncertainty of whether the Copyright Act required mechanical licenses for interactive streaming, and because mechanical licenses were so difficult to obtain in the quantities that streaming services needed them, those services went ahead and added many songs to their libraries without obtaining mechanical licenses.  (You will perhaps have realized by now that many successful digital distribution companies have gotten where they are by barging ahead with their business plans and cleaning up the copyright issues later.) That subjected those streaming services to potential liabilities of hundreds of millions of dollars in statutory damages for copyright infringement if it turned out that they used musical works without all of the required permissions. Spotify, in particular, has faced several lawsuits seeking, in the aggregate, about $2 billion.</w:t>
      </w:r>
    </w:p>
    <w:p w14:paraId="54B1ED8F"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That is a rather long-winded windup to the major provisions of the MWMA, but now it is finally time to unveil them.  First, the MWMA provides that </w:t>
      </w:r>
      <w:r w:rsidRPr="003C74F8">
        <w:rPr>
          <w:rFonts w:ascii="Californian FB" w:hAnsi="Californian FB" w:cs="Times New Roman"/>
          <w:i/>
          <w:iCs/>
          <w:color w:val="000000"/>
          <w:sz w:val="24"/>
          <w:szCs w:val="24"/>
        </w:rPr>
        <w:t>interactive</w:t>
      </w:r>
      <w:r w:rsidRPr="003C74F8">
        <w:rPr>
          <w:rFonts w:ascii="Californian FB" w:hAnsi="Californian FB" w:cs="Times New Roman"/>
          <w:color w:val="000000"/>
          <w:sz w:val="24"/>
          <w:szCs w:val="24"/>
        </w:rPr>
        <w:t xml:space="preserve"> streaming </w:t>
      </w:r>
      <w:r w:rsidRPr="003C74F8">
        <w:rPr>
          <w:rFonts w:ascii="Californian FB" w:hAnsi="Californian FB" w:cs="Times New Roman"/>
          <w:i/>
          <w:iCs/>
          <w:color w:val="000000"/>
          <w:sz w:val="24"/>
          <w:szCs w:val="24"/>
        </w:rPr>
        <w:t xml:space="preserve">is subject to mechanical licensing as well as public performance licensing.  </w:t>
      </w:r>
      <w:r w:rsidRPr="003C74F8">
        <w:rPr>
          <w:rFonts w:ascii="Californian FB" w:hAnsi="Californian FB" w:cs="Times New Roman"/>
          <w:color w:val="000000"/>
          <w:sz w:val="24"/>
          <w:szCs w:val="24"/>
        </w:rPr>
        <w:t xml:space="preserve">It defines the term “digital phonorecord delivery” to include interactive streaming, and also notes that interactive streaming can simultaneously be a public performance. </w:t>
      </w:r>
      <w:r w:rsidRPr="003C74F8">
        <w:rPr>
          <w:rFonts w:ascii="Californian FB" w:hAnsi="Californian FB" w:cs="Times New Roman"/>
          <w:i/>
          <w:iCs/>
          <w:color w:val="000000"/>
          <w:sz w:val="24"/>
          <w:szCs w:val="24"/>
        </w:rPr>
        <w:t xml:space="preserve">See </w:t>
      </w:r>
      <w:r w:rsidRPr="003C74F8">
        <w:rPr>
          <w:rFonts w:ascii="Californian FB" w:hAnsi="Californian FB" w:cs="Times New Roman"/>
          <w:color w:val="000000"/>
          <w:sz w:val="24"/>
          <w:szCs w:val="24"/>
        </w:rPr>
        <w:t xml:space="preserve">17 U.S.C. § 115(e)(10) (as amended by MMA § 102(a)(5)).  Conceptual coherence loses; practical considerations win. The MWMA allows interactive streamers to use the § 115 statutory license, but subjects them to somewhat different procedures than those applicable to record companies that want to make and distribute </w:t>
      </w:r>
      <w:r w:rsidRPr="003C74F8">
        <w:rPr>
          <w:rFonts w:ascii="Californian FB" w:hAnsi="Californian FB" w:cs="Times New Roman"/>
          <w:color w:val="000000"/>
          <w:sz w:val="24"/>
          <w:szCs w:val="24"/>
        </w:rPr>
        <w:lastRenderedPageBreak/>
        <w:t>recordings on physical media or via downloads.  Thus, if your streaming service is classified as interactive, you’re going to have to pay for both mechanical licenses and public performance licenses; if it’s classified as non-interactive, you will only have to pay for public performance licenses.</w:t>
      </w:r>
    </w:p>
    <w:p w14:paraId="48F36D4D" w14:textId="72535C60"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Second, the MWMA empowers the Copyright Office to designate a new nonprofit “Mechanical Licensing Collective” (“MLC”) that will collect and distribute interactive streaming mechanical license royalties. MMA § 102(a)(4) (codified at 17 U.S.C. § 115(d)(3)). On July 8, 2019, the Copyright Office designated the imaginatively-named “Music Licensing Collective, Inc.” as the MLC. </w:t>
      </w:r>
      <w:r w:rsidRPr="003C74F8">
        <w:rPr>
          <w:rFonts w:ascii="Californian FB" w:hAnsi="Californian FB" w:cs="Times New Roman"/>
          <w:i/>
          <w:iCs/>
          <w:color w:val="000000"/>
          <w:sz w:val="24"/>
          <w:szCs w:val="24"/>
        </w:rPr>
        <w:t xml:space="preserve">See </w:t>
      </w:r>
      <w:hyperlink r:id="rId298" w:history="1">
        <w:r w:rsidRPr="003C74F8">
          <w:rPr>
            <w:rStyle w:val="Hyperlink"/>
            <w:rFonts w:ascii="Californian FB" w:hAnsi="Californian FB" w:cs="Times New Roman"/>
            <w:sz w:val="24"/>
            <w:szCs w:val="24"/>
          </w:rPr>
          <w:t>Library of Congress, U.S. Copyright Office, Designation of Music Licensing Collective and Digital Licensee Coordinator, 84 Fed. Reg. 32274 (July 8, 2019).</w:t>
        </w:r>
      </w:hyperlink>
    </w:p>
    <w:p w14:paraId="3DB50175" w14:textId="54AD317E"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Crucially, the MLC will offer a blanket license similar to that offered by PROs like ASCAP and BMI.  </w:t>
      </w:r>
      <w:r w:rsidR="00986CFC" w:rsidRPr="003C74F8">
        <w:rPr>
          <w:rFonts w:ascii="Californian FB" w:hAnsi="Californian FB" w:cs="Times New Roman"/>
          <w:color w:val="000000"/>
          <w:sz w:val="24"/>
          <w:szCs w:val="24"/>
        </w:rPr>
        <w:t xml:space="preserve">MMA § 102(a)(4) </w:t>
      </w:r>
      <w:r w:rsidRPr="003C74F8">
        <w:rPr>
          <w:rFonts w:ascii="Californian FB" w:hAnsi="Californian FB" w:cs="Times New Roman"/>
          <w:color w:val="000000"/>
          <w:sz w:val="24"/>
          <w:szCs w:val="24"/>
        </w:rPr>
        <w:t>(codified at 17 U.S.C. § 115(d)(1). Streaming services will be able to pay one fee to obtain mechanical licenses for every musical work administered by the MLC, and the MLC will sort out the distribution of those receipts to copyright owners – including identifying the correct owners. Streaming services will have to pay royalties whether or not the owners can currently be found.  If the owners can’t be found within three years after the payment is made, the MLC will be able to distribute that money proportionally among copyright owners registered with the MLC.</w:t>
      </w:r>
    </w:p>
    <w:p w14:paraId="6405C137"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Third, the MWMA makes the MLC responsible for creating and maintaining a database of musical works that contains, for each musical work, its title; copyright ownership information; contact information for the owners; and identifying information for sound recordings in which the musical work is embodied.  </w:t>
      </w:r>
      <w:r w:rsidRPr="003C74F8">
        <w:rPr>
          <w:rFonts w:ascii="Californian FB" w:hAnsi="Californian FB" w:cs="Times New Roman"/>
          <w:i/>
          <w:iCs/>
          <w:color w:val="000000"/>
          <w:sz w:val="24"/>
          <w:szCs w:val="24"/>
        </w:rPr>
        <w:t xml:space="preserve">Id. </w:t>
      </w:r>
      <w:r w:rsidRPr="003C74F8">
        <w:rPr>
          <w:rFonts w:ascii="Californian FB" w:hAnsi="Californian FB" w:cs="Times New Roman"/>
          <w:color w:val="000000"/>
          <w:sz w:val="24"/>
          <w:szCs w:val="24"/>
        </w:rPr>
        <w:t xml:space="preserve">(codified at 17 U.S.C. § 115(d)(3)(E)). </w:t>
      </w:r>
    </w:p>
    <w:p w14:paraId="4BD24168" w14:textId="77777777" w:rsidR="006C72F0" w:rsidRPr="003C74F8" w:rsidRDefault="006C72F0" w:rsidP="006C72F0">
      <w:pPr>
        <w:ind w:firstLine="720"/>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 xml:space="preserve">Fourth, the Copyright Royalty Board will continue to set rates for mechanical licenses, but the MWMA amends § 115 to move from the “four-factor” rate standard introduced above to a “willing buyer, willing seller” standard.  </w:t>
      </w:r>
      <w:r w:rsidRPr="003C74F8">
        <w:rPr>
          <w:rFonts w:ascii="Californian FB" w:hAnsi="Californian FB" w:cs="Times New Roman"/>
          <w:i/>
          <w:iCs/>
          <w:color w:val="000000"/>
          <w:sz w:val="24"/>
          <w:szCs w:val="24"/>
        </w:rPr>
        <w:t xml:space="preserve">Id. </w:t>
      </w:r>
      <w:r w:rsidRPr="003C74F8">
        <w:rPr>
          <w:rFonts w:ascii="Californian FB" w:hAnsi="Californian FB" w:cs="Times New Roman"/>
          <w:sz w:val="24"/>
          <w:szCs w:val="24"/>
        </w:rPr>
        <w:t>(codified at 17 U.S.C. § 115(c)(1)(F)). As explained above, that is likely to result in somewhat higher rates.</w:t>
      </w:r>
    </w:p>
    <w:p w14:paraId="5C24183C" w14:textId="77777777" w:rsidR="006C72F0" w:rsidRPr="003C74F8" w:rsidRDefault="006C72F0" w:rsidP="006C72F0">
      <w:pPr>
        <w:jc w:val="both"/>
        <w:rPr>
          <w:rFonts w:ascii="Californian FB" w:hAnsi="Californian FB" w:cs="Times New Roman"/>
          <w:color w:val="000000"/>
          <w:sz w:val="24"/>
          <w:szCs w:val="24"/>
        </w:rPr>
      </w:pPr>
      <w:r w:rsidRPr="003C74F8">
        <w:rPr>
          <w:rFonts w:ascii="Californian FB" w:hAnsi="Californian FB" w:cs="Times New Roman"/>
          <w:color w:val="000000"/>
          <w:sz w:val="24"/>
          <w:szCs w:val="24"/>
        </w:rPr>
        <w:tab/>
        <w:t xml:space="preserve">Finally, the MWMA provides a retroactive limitation of streaming services’ liability for failure to pay mechanical license fees.  In any such lawsuit filed against a streaming service after January 1, 2018 – which, you will note, is 10 months before the MMA passed – the plaintiffs will be limited to recovering the § 115 license rates due, so long as the streaming service does a few things to qualify for that limitation.  </w:t>
      </w:r>
      <w:r w:rsidRPr="003C74F8">
        <w:rPr>
          <w:rFonts w:ascii="Californian FB" w:hAnsi="Californian FB" w:cs="Times New Roman"/>
          <w:i/>
          <w:iCs/>
          <w:color w:val="000000"/>
          <w:sz w:val="24"/>
          <w:szCs w:val="24"/>
        </w:rPr>
        <w:t>Id.</w:t>
      </w:r>
      <w:r w:rsidRPr="003C74F8">
        <w:rPr>
          <w:rFonts w:ascii="Californian FB" w:hAnsi="Californian FB" w:cs="Times New Roman"/>
          <w:color w:val="000000"/>
          <w:sz w:val="24"/>
          <w:szCs w:val="24"/>
        </w:rPr>
        <w:t xml:space="preserve"> (codified at 17 U.S.C. § 115(d)(10)). That removes the potentially enormous liability for statutory damages for copyright infringement.  Spotify has now settled the largest lawsuits filed against it before 2018, and so it no longer needs to worry about its past failures to pay for mechanical licenses.</w:t>
      </w:r>
    </w:p>
    <w:p w14:paraId="6FC28D63" w14:textId="77777777" w:rsidR="006C72F0" w:rsidRPr="003C74F8" w:rsidRDefault="006C72F0" w:rsidP="006C72F0">
      <w:pPr>
        <w:jc w:val="both"/>
        <w:rPr>
          <w:rFonts w:ascii="Californian FB" w:hAnsi="Californian FB" w:cs="Times New Roman"/>
          <w:sz w:val="24"/>
          <w:szCs w:val="24"/>
        </w:rPr>
      </w:pPr>
      <w:r w:rsidRPr="003C74F8">
        <w:rPr>
          <w:rFonts w:ascii="Californian FB" w:hAnsi="Californian FB" w:cs="Times New Roman"/>
          <w:color w:val="000000"/>
          <w:sz w:val="24"/>
          <w:szCs w:val="24"/>
        </w:rPr>
        <w:tab/>
        <w:t>The MWRA clearly makes the process for paying for mechanical licenses for digital music streaming much easier than it was.  But should mechanical licenses be necessary for music streaming at all?  If you don’t think you know enough to answer that question, what more would you like to know?  Overall, do the rules for licensing music streaming – both of sound recordings and of musical works – now seem to make sense?  If not, what changes would you propose?</w:t>
      </w:r>
    </w:p>
    <w:p w14:paraId="4CA9A1C9" w14:textId="77777777" w:rsidR="009370F1" w:rsidRPr="009370F1" w:rsidRDefault="009370F1">
      <w:pPr>
        <w:rPr>
          <w:rFonts w:ascii="Californian FB" w:eastAsia="Times New Roman" w:hAnsi="Californian FB" w:cstheme="minorHAnsi"/>
          <w:bCs/>
          <w:sz w:val="24"/>
          <w:szCs w:val="24"/>
        </w:rPr>
      </w:pPr>
    </w:p>
    <w:p w14:paraId="17EFA63D" w14:textId="77777777" w:rsidR="003C74F8" w:rsidRPr="003C74F8" w:rsidRDefault="003C74F8" w:rsidP="003C74F8">
      <w:pPr>
        <w:rPr>
          <w:rFonts w:ascii="Californian FB" w:hAnsi="Californian FB" w:cs="Times New Roman"/>
          <w:b/>
          <w:bCs/>
          <w:sz w:val="28"/>
          <w:szCs w:val="28"/>
        </w:rPr>
      </w:pPr>
      <w:r w:rsidRPr="003C74F8">
        <w:rPr>
          <w:rFonts w:ascii="Californian FB" w:hAnsi="Californian FB" w:cs="Times New Roman"/>
          <w:b/>
          <w:bCs/>
          <w:sz w:val="28"/>
          <w:szCs w:val="28"/>
        </w:rPr>
        <w:t>F. State-Law Public Performance Rights for Pre-1972 Sound Recordings</w:t>
      </w:r>
    </w:p>
    <w:p w14:paraId="5FC92FAD" w14:textId="77777777" w:rsidR="003C74F8" w:rsidRPr="003C74F8" w:rsidRDefault="003C74F8" w:rsidP="003C74F8">
      <w:pPr>
        <w:rPr>
          <w:rFonts w:ascii="Californian FB" w:hAnsi="Californian FB" w:cs="Times New Roman"/>
          <w:sz w:val="28"/>
          <w:szCs w:val="28"/>
        </w:rPr>
      </w:pPr>
      <w:r w:rsidRPr="003C74F8">
        <w:rPr>
          <w:rFonts w:ascii="Californian FB" w:hAnsi="Californian FB" w:cs="Times New Roman"/>
          <w:sz w:val="28"/>
          <w:szCs w:val="28"/>
        </w:rPr>
        <w:t>P. 987 – Replace this entire section with the following:</w:t>
      </w:r>
    </w:p>
    <w:p w14:paraId="4436DE8F" w14:textId="77777777" w:rsidR="003C74F8" w:rsidRPr="003C74F8" w:rsidRDefault="003C74F8" w:rsidP="003C74F8">
      <w:pPr>
        <w:rPr>
          <w:rFonts w:ascii="Californian FB" w:hAnsi="Californian FB" w:cs="Times New Roman"/>
          <w:b/>
          <w:bCs/>
          <w:sz w:val="24"/>
          <w:szCs w:val="24"/>
        </w:rPr>
      </w:pPr>
      <w:r w:rsidRPr="003C74F8">
        <w:rPr>
          <w:rFonts w:ascii="Californian FB" w:hAnsi="Californian FB" w:cs="Times New Roman"/>
          <w:b/>
          <w:bCs/>
          <w:sz w:val="24"/>
          <w:szCs w:val="24"/>
        </w:rPr>
        <w:t>F. Rights in Pre-1972 Sound Recordings: State Law and the Classics Protection and Access Act</w:t>
      </w:r>
    </w:p>
    <w:p w14:paraId="0804DE35"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Before 1972, federal copyright law did not protect sound recordings at all.  When Congress extended copyright protection to sound recordings in the Sound Recording Act of 1971, it did so only prospectively, limiting the protection to sound recordings that were “fixed, published, and copyrighted” on or after February 15, 1972.  Thus, sound recordings fixed before that date continued to be protected only under state law.  In 1994, in order to comply with the obligations of the United States under the Berne Convention, Congress provided for retroactive federal copyright protection of pre-1972 sound recordings that were of foreign origin.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17 U.S.C. § 104A(h)(6)(ii).  However, under the somewhat complicated rules of the Berne Convention and of § 104A of the Copyright Act, the vast majority of sound recordings that have commercial value in the United States are of domestic origin, rather than foreign origin, and were therefore still protected only under state law.</w:t>
      </w:r>
    </w:p>
    <w:p w14:paraId="3DCD4AF4"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Owners of copyright in pre-1972 sound recordings have obtained many state-law judgments against those who have reproduced and distributed copies of sound recordings without permission, and prosecutors have obtained state criminal convictions as well.  However, state-law remedies are often cumbersome, and there is a serious question of whether state protections include any public performance rights, a question that has become more and more important in the era of music streaming. The Sound Recording Act of 1971 itself quite purposely omitted a federal public performance right for sound recordings.  The Digital Performance Right in Sound Recordings Act of 1995 only partially filled that hole when it granted sound recordings protected under federal law a right to public performance “by means of a digital audio transmission.”  Thus, old-fashioned analog radio broadcasters have never paid owners of copyright in sound recordings when they played them on the air, and continue not to do so. </w:t>
      </w:r>
    </w:p>
    <w:p w14:paraId="07C15939" w14:textId="6267BB91"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More recently, many companies that started streaming pre-1972 sound recordings online, or broadcasting them digitally, decided not to pay the owners of those recordings either, taking the position that state-law protection of those older recordings did not include any public performance rights. The litigation that ensued over whether state law grants public performance rights to pre-1972 sound recordings </w:t>
      </w:r>
      <w:r w:rsidR="00812772">
        <w:rPr>
          <w:rFonts w:ascii="Californian FB" w:hAnsi="Californian FB" w:cs="Times New Roman"/>
          <w:sz w:val="24"/>
          <w:szCs w:val="24"/>
        </w:rPr>
        <w:t>did not</w:t>
      </w:r>
      <w:r w:rsidRPr="003C74F8">
        <w:rPr>
          <w:rFonts w:ascii="Californian FB" w:hAnsi="Californian FB" w:cs="Times New Roman"/>
          <w:sz w:val="24"/>
          <w:szCs w:val="24"/>
        </w:rPr>
        <w:t xml:space="preserve"> go well for plaintiffs.  After some early wins in federal courts, the plaintiffs lost when the federal courts certified questions to state courts in New York and Florida.  Those courts both ruled that the law of their states did not extend public performance rights to pre-1972 sound recordings.  </w:t>
      </w:r>
      <w:r w:rsidRPr="003C74F8">
        <w:rPr>
          <w:rFonts w:ascii="Californian FB" w:hAnsi="Californian FB" w:cs="Times New Roman"/>
          <w:i/>
          <w:iCs/>
          <w:sz w:val="24"/>
          <w:szCs w:val="24"/>
        </w:rPr>
        <w:t xml:space="preserve">See Flo &amp; Eddie Inc. v. Sirius XM Radio, Inc., </w:t>
      </w:r>
      <w:r w:rsidRPr="003C74F8">
        <w:rPr>
          <w:rFonts w:ascii="Californian FB" w:hAnsi="Californian FB" w:cs="Times New Roman"/>
          <w:sz w:val="24"/>
          <w:szCs w:val="24"/>
        </w:rPr>
        <w:t xml:space="preserve">28 N.Y. 3d 583 (2016); </w:t>
      </w:r>
      <w:r w:rsidRPr="003C74F8">
        <w:rPr>
          <w:rFonts w:ascii="Californian FB" w:hAnsi="Californian FB" w:cs="Times New Roman"/>
          <w:i/>
          <w:iCs/>
          <w:sz w:val="24"/>
          <w:szCs w:val="24"/>
        </w:rPr>
        <w:t>Flo &amp; Eddie, Inc. v. Sirius XM Radio, Inc</w:t>
      </w:r>
      <w:r w:rsidRPr="003C74F8">
        <w:rPr>
          <w:rFonts w:ascii="Californian FB" w:hAnsi="Californian FB" w:cs="Times New Roman"/>
          <w:sz w:val="24"/>
          <w:szCs w:val="24"/>
        </w:rPr>
        <w:t xml:space="preserve">., 229 So.3d 305 (Fla. 2017).  </w:t>
      </w:r>
      <w:r w:rsidR="00CC7E60">
        <w:rPr>
          <w:rFonts w:ascii="Californian FB" w:hAnsi="Californian FB" w:cs="Times New Roman"/>
          <w:sz w:val="24"/>
          <w:szCs w:val="24"/>
        </w:rPr>
        <w:t>In a case with a somewhat complicated procedural history, the Ninth Circuit eventually ruled in August 2021 that California law did not grant public performance rights to pre-1972 sound recordings.</w:t>
      </w:r>
      <w:r w:rsidRPr="003C74F8">
        <w:rPr>
          <w:rFonts w:ascii="Californian FB" w:hAnsi="Californian FB" w:cs="Times New Roman"/>
          <w:sz w:val="24"/>
          <w:szCs w:val="24"/>
        </w:rPr>
        <w:t xml:space="preserve">  </w:t>
      </w:r>
      <w:r w:rsidRPr="003C74F8">
        <w:rPr>
          <w:rFonts w:ascii="Californian FB" w:hAnsi="Californian FB" w:cs="Times New Roman"/>
          <w:i/>
          <w:iCs/>
          <w:sz w:val="24"/>
          <w:szCs w:val="24"/>
        </w:rPr>
        <w:t>See Flo &amp; Eddie, Inc. v. Pandora Media, Inc</w:t>
      </w:r>
      <w:r w:rsidRPr="003C74F8">
        <w:rPr>
          <w:rFonts w:ascii="Californian FB" w:hAnsi="Californian FB" w:cs="Times New Roman"/>
          <w:sz w:val="24"/>
          <w:szCs w:val="24"/>
        </w:rPr>
        <w:t xml:space="preserve">, </w:t>
      </w:r>
      <w:r w:rsidR="00812772">
        <w:rPr>
          <w:rFonts w:ascii="Californian FB" w:hAnsi="Californian FB" w:cs="Times New Roman"/>
          <w:sz w:val="24"/>
          <w:szCs w:val="24"/>
        </w:rPr>
        <w:t>9 F.4</w:t>
      </w:r>
      <w:r w:rsidR="00812772" w:rsidRPr="003071D7">
        <w:rPr>
          <w:rFonts w:ascii="Californian FB" w:hAnsi="Californian FB" w:cs="Times New Roman"/>
          <w:sz w:val="24"/>
          <w:szCs w:val="24"/>
          <w:vertAlign w:val="superscript"/>
        </w:rPr>
        <w:t>th</w:t>
      </w:r>
      <w:r w:rsidR="00812772">
        <w:rPr>
          <w:rFonts w:ascii="Californian FB" w:hAnsi="Californian FB" w:cs="Times New Roman"/>
          <w:sz w:val="24"/>
          <w:szCs w:val="24"/>
        </w:rPr>
        <w:t xml:space="preserve"> 1167 (9</w:t>
      </w:r>
      <w:r w:rsidR="00812772" w:rsidRPr="003071D7">
        <w:rPr>
          <w:rFonts w:ascii="Californian FB" w:hAnsi="Californian FB" w:cs="Times New Roman"/>
          <w:sz w:val="24"/>
          <w:szCs w:val="24"/>
          <w:vertAlign w:val="superscript"/>
        </w:rPr>
        <w:t>th</w:t>
      </w:r>
      <w:r w:rsidR="00812772">
        <w:rPr>
          <w:rFonts w:ascii="Californian FB" w:hAnsi="Californian FB" w:cs="Times New Roman"/>
          <w:sz w:val="24"/>
          <w:szCs w:val="24"/>
        </w:rPr>
        <w:t xml:space="preserve"> Cir. 2021</w:t>
      </w:r>
      <w:proofErr w:type="gramStart"/>
      <w:r w:rsidR="00812772">
        <w:rPr>
          <w:rFonts w:ascii="Californian FB" w:hAnsi="Californian FB" w:cs="Times New Roman"/>
          <w:sz w:val="24"/>
          <w:szCs w:val="24"/>
        </w:rPr>
        <w:t>)</w:t>
      </w:r>
      <w:r w:rsidR="00E40AC1">
        <w:rPr>
          <w:rFonts w:ascii="Californian FB" w:hAnsi="Californian FB" w:cs="Times New Roman"/>
          <w:sz w:val="24"/>
          <w:szCs w:val="24"/>
        </w:rPr>
        <w:t>.</w:t>
      </w:r>
      <w:r w:rsidRPr="003C74F8">
        <w:rPr>
          <w:rFonts w:ascii="Californian FB" w:hAnsi="Californian FB" w:cs="Times New Roman"/>
          <w:sz w:val="24"/>
          <w:szCs w:val="24"/>
        </w:rPr>
        <w:t>.</w:t>
      </w:r>
      <w:proofErr w:type="gramEnd"/>
      <w:r w:rsidRPr="003C74F8">
        <w:rPr>
          <w:rFonts w:ascii="Californian FB" w:hAnsi="Californian FB" w:cs="Times New Roman"/>
          <w:sz w:val="24"/>
          <w:szCs w:val="24"/>
        </w:rPr>
        <w:t xml:space="preserve"> </w:t>
      </w:r>
    </w:p>
    <w:p w14:paraId="1F88865F" w14:textId="7BB613C8" w:rsidR="003C74F8" w:rsidRPr="003C74F8" w:rsidRDefault="00E40AC1" w:rsidP="003C74F8">
      <w:pPr>
        <w:ind w:firstLine="720"/>
        <w:jc w:val="both"/>
        <w:rPr>
          <w:rFonts w:ascii="Californian FB" w:hAnsi="Californian FB" w:cs="Times New Roman"/>
          <w:sz w:val="24"/>
          <w:szCs w:val="24"/>
        </w:rPr>
      </w:pPr>
      <w:r>
        <w:rPr>
          <w:rFonts w:ascii="Californian FB" w:hAnsi="Californian FB" w:cs="Times New Roman"/>
          <w:sz w:val="24"/>
          <w:szCs w:val="24"/>
        </w:rPr>
        <w:lastRenderedPageBreak/>
        <w:t xml:space="preserve">Meanwhile, owners of </w:t>
      </w:r>
      <w:r w:rsidR="00EB46A1">
        <w:rPr>
          <w:rFonts w:ascii="Californian FB" w:hAnsi="Californian FB" w:cs="Times New Roman"/>
          <w:sz w:val="24"/>
          <w:szCs w:val="24"/>
        </w:rPr>
        <w:t>pre-1972 sound recordings and streaming services were both active in lobbying Congress, and their efforts resulted in a legislative compromise that includes some</w:t>
      </w:r>
      <w:r w:rsidR="003C74F8" w:rsidRPr="003C74F8">
        <w:rPr>
          <w:rFonts w:ascii="Californian FB" w:hAnsi="Californian FB" w:cs="Times New Roman"/>
          <w:sz w:val="24"/>
          <w:szCs w:val="24"/>
        </w:rPr>
        <w:t xml:space="preserve"> retrospective federal protection for pre-1972 sound recordings</w:t>
      </w:r>
      <w:r w:rsidR="00EB46A1">
        <w:rPr>
          <w:rFonts w:ascii="Californian FB" w:hAnsi="Californian FB" w:cs="Times New Roman"/>
          <w:sz w:val="24"/>
          <w:szCs w:val="24"/>
        </w:rPr>
        <w:t>. That legislation</w:t>
      </w:r>
      <w:r w:rsidR="003C74F8" w:rsidRPr="003C74F8">
        <w:rPr>
          <w:rFonts w:ascii="Californian FB" w:hAnsi="Californian FB" w:cs="Times New Roman"/>
          <w:sz w:val="24"/>
          <w:szCs w:val="24"/>
        </w:rPr>
        <w:t xml:space="preserve"> arrived on October 11, 2018</w:t>
      </w:r>
      <w:r w:rsidR="00D87B8D">
        <w:rPr>
          <w:rFonts w:ascii="Californian FB" w:hAnsi="Californian FB" w:cs="Times New Roman"/>
          <w:sz w:val="24"/>
          <w:szCs w:val="24"/>
        </w:rPr>
        <w:t xml:space="preserve"> as</w:t>
      </w:r>
      <w:r w:rsidR="003C74F8" w:rsidRPr="003C74F8">
        <w:rPr>
          <w:rFonts w:ascii="Californian FB" w:hAnsi="Californian FB" w:cs="Times New Roman"/>
          <w:sz w:val="24"/>
          <w:szCs w:val="24"/>
        </w:rPr>
        <w:t xml:space="preserve"> the Classics Protection and Access Act (“CPAA”)</w:t>
      </w:r>
      <w:r w:rsidR="00085492">
        <w:rPr>
          <w:rFonts w:ascii="Californian FB" w:hAnsi="Californian FB" w:cs="Times New Roman"/>
          <w:sz w:val="24"/>
          <w:szCs w:val="24"/>
        </w:rPr>
        <w:t xml:space="preserve">, </w:t>
      </w:r>
      <w:r w:rsidR="003C74F8" w:rsidRPr="003C74F8">
        <w:rPr>
          <w:rFonts w:ascii="Californian FB" w:hAnsi="Californian FB" w:cs="Times New Roman"/>
          <w:sz w:val="24"/>
          <w:szCs w:val="24"/>
        </w:rPr>
        <w:t xml:space="preserve"> enacted as </w:t>
      </w:r>
      <w:hyperlink r:id="rId299" w:anchor="toc-H042115FD334F40B5929A425D9C85FC34" w:history="1">
        <w:r w:rsidR="003C74F8" w:rsidRPr="003C74F8">
          <w:rPr>
            <w:rStyle w:val="Hyperlink"/>
            <w:rFonts w:ascii="Californian FB" w:hAnsi="Californian FB" w:cs="Times New Roman"/>
            <w:sz w:val="24"/>
            <w:szCs w:val="24"/>
          </w:rPr>
          <w:t>Title II of the Orrin G. Hatch – Bob Goodlatte Music Modernization Act, Public Law 115-264</w:t>
        </w:r>
      </w:hyperlink>
      <w:r w:rsidR="003C74F8" w:rsidRPr="003C74F8">
        <w:rPr>
          <w:rFonts w:ascii="Californian FB" w:hAnsi="Californian FB" w:cs="Times New Roman"/>
          <w:sz w:val="24"/>
          <w:szCs w:val="24"/>
        </w:rPr>
        <w:t xml:space="preserve">.  Somewhat oddly, the CPAA as enacted does not fold pre-1972 sound recordings into existing copyright protections.  Rather, it creates a scheme of “quasi-copyright” or “neighboring rights” for pre-1972 sound recordings to be codified in a new Chapter 14 of the Copyright Act.  That scheme parallels, in most but not all respects, the copyright rights and remedies provided in earlier chapters of the Copyright Act. The first subsection of the only section in Chapter 14, § 1401(a)(1), provides that anyone who acts with respect to a sound recording in any way that would violate any of the exclusive rights under § 106, or the anti-circumvention and rights management information protections under §§ 1201 and 1202, will be subject to the remedies under §§ 502 through 505 and 1203, “to same extent as” an infringer of copyright.  That means that owners of pre-1972 sound recordings now have almost all of the same rights and remedies as those of more recent recordings protected by copyright.  The sole exception is criminal remedies, which the Copyright Act provides in § 506, a section that is intentionally omitted from incorporation into § 1401.  </w:t>
      </w:r>
    </w:p>
    <w:p w14:paraId="5397B9DC"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To round out the near-mirroring of copyright protection, the CPAA provides that federal rights in sound recordings will be subject to most of the limitations and exceptions in Chapter 1 of the Copyright Act, including § 107 fair use, § 108 library and archive uses, § 109 first sale, § 110 public performance exceptions, and § 112(f) ephemeral copies. 17 U.S.C. § 1401(f)(1)(A). Secondary liability for uses of pre-1972 sound recordings is also made subject to the four “safe harbors” in § 512 of the Copyright Act.  17 U.S.C. § 1401(f)(3). </w:t>
      </w:r>
    </w:p>
    <w:p w14:paraId="7EC21478" w14:textId="29BD67D5"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To obtain statutory damages and attorney</w:t>
      </w:r>
      <w:r w:rsidR="0054753B">
        <w:rPr>
          <w:rFonts w:ascii="Californian FB" w:hAnsi="Californian FB" w:cs="Times New Roman"/>
          <w:sz w:val="24"/>
          <w:szCs w:val="24"/>
        </w:rPr>
        <w:t>’</w:t>
      </w:r>
      <w:r w:rsidRPr="003C74F8">
        <w:rPr>
          <w:rFonts w:ascii="Californian FB" w:hAnsi="Californian FB" w:cs="Times New Roman"/>
          <w:sz w:val="24"/>
          <w:szCs w:val="24"/>
        </w:rPr>
        <w:t>s fees, owners of rights in pre-1972 sound recordings need not and cannot follow the registration requirements under § 412 of the Copyright Act, since the CPAA does not technically extend copyright protection to those recordings.  However, those enhanced remedies will be available only to rights owners who file a document with the Copyright Office that identifies the title, artist, and rights owner of the sound recording.  17 U.S.C. § 1401(f)(5). Although that document will provide much of the same information that a registration application does, the filing provision does not include a deposit requirement, and thus the CPAA establishes a precedent for extending enhanced remedies without a deposit to add to the collection of the Library of Congress, and without examination by the Copyright Office.</w:t>
      </w:r>
    </w:p>
    <w:p w14:paraId="769840D8"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How long will owners of copyright in pre-1972 sound recordings enjoy the rights granted by the CPAA?  The Act provides for staggered terms, depending upon when copies of the sound recordings were originally publicly distributed.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 xml:space="preserve">17 U.S.C. § 1401(a)(2). Sound recordings that were published before 1923 will enjoy these new federal rights only until December 31, 2021.  Sound recordings first published between 1923 and 1946 will get protection until 100 years after their first publication, and thus their terms will begin to expire at the end of 2023 (for recordings published in 1923) and will do so every year until the end of 2046 (for recordings first published in 1946).  Sound recordings first published between 1947 and 1955 will get protection for 110 years after first publication, and thus their terms will expire between the end of 2057 and the end of 2065. The terms of sound recordings first published between 1956 and 1972 will all expire on </w:t>
      </w:r>
      <w:r w:rsidRPr="003C74F8">
        <w:rPr>
          <w:rFonts w:ascii="Californian FB" w:hAnsi="Californian FB" w:cs="Times New Roman"/>
          <w:sz w:val="24"/>
          <w:szCs w:val="24"/>
        </w:rPr>
        <w:lastRenderedPageBreak/>
        <w:t xml:space="preserve">February 15, 2067, and thus those recordings will receive terms of between 95 years (for the early 1972 recordings) and 110 years (for the 1956 recordings) after first publication. Previously unpublished recordings will also be protected until February 15, 2067.  </w:t>
      </w:r>
    </w:p>
    <w:p w14:paraId="49FC850C"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Those staggered terms seem awfully complicated, don’t they?  Like many complicated provisions, they represent a compromise.  Drafters of an earlier version of the CPAA had granted federal protection to all sound recordings, no matter how old, until February 15, 2067.  Under the Copyright Act of 1976, that was the date on which pre-1972 sound recordings would become subject to federal copyright law, and thus have their terms limited, even though protection under state law had extended indefinitely.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 xml:space="preserve">17 U.S.C. § 301(c) (1976) (providing for preemption of state law regarding pre-1972 sound recordings on February 15, 2067); </w:t>
      </w:r>
      <w:r w:rsidRPr="003C74F8">
        <w:rPr>
          <w:rFonts w:ascii="Californian FB" w:hAnsi="Californian FB" w:cs="Times New Roman"/>
          <w:i/>
          <w:iCs/>
          <w:sz w:val="24"/>
          <w:szCs w:val="24"/>
        </w:rPr>
        <w:t>Capitol Records v. Naxos of America</w:t>
      </w:r>
      <w:r w:rsidRPr="003C74F8">
        <w:rPr>
          <w:rFonts w:ascii="Californian FB" w:hAnsi="Californian FB" w:cs="Times New Roman"/>
          <w:sz w:val="24"/>
          <w:szCs w:val="24"/>
        </w:rPr>
        <w:t xml:space="preserve">, 4 N.Y. 3d 540, 559-560 (2005) (discussing perpetual state common law protection in the absence of federal preemption). Others argued that sound recordings should receive only the term of copyright enjoyed by other works protected by federal law, which would mean that all sound recordings published before 1923 would immediately fall into the public domain when the CPAA passed, and those published in or after 1923 would all get protection until the end of 95 years from the year of first publication.  </w:t>
      </w:r>
    </w:p>
    <w:p w14:paraId="7788EA75" w14:textId="131D6920"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Under the compromise, most sound recordings will receive a longer term than they would have had they been federally protected from first publication.  However, most of those recordings will also become free for public use sooner than they would have under previous law.  The CPAA preempts state law for all activities that take place with respect to sound recordings after the effective date of the Act (with the possible exception of “</w:t>
      </w:r>
      <w:proofErr w:type="spellStart"/>
      <w:r w:rsidRPr="003C74F8">
        <w:rPr>
          <w:rFonts w:ascii="Californian FB" w:hAnsi="Californian FB" w:cs="Times New Roman"/>
          <w:sz w:val="24"/>
          <w:szCs w:val="24"/>
        </w:rPr>
        <w:t>nonsubscription</w:t>
      </w:r>
      <w:proofErr w:type="spellEnd"/>
      <w:r w:rsidRPr="003C74F8">
        <w:rPr>
          <w:rFonts w:ascii="Californian FB" w:hAnsi="Californian FB" w:cs="Times New Roman"/>
          <w:sz w:val="24"/>
          <w:szCs w:val="24"/>
        </w:rPr>
        <w:t xml:space="preserve"> broadcast transmissions,” of which more below).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CPAA § 202(a)(</w:t>
      </w:r>
      <w:proofErr w:type="gramStart"/>
      <w:r w:rsidRPr="003C74F8">
        <w:rPr>
          <w:rFonts w:ascii="Californian FB" w:hAnsi="Californian FB" w:cs="Times New Roman"/>
          <w:sz w:val="24"/>
          <w:szCs w:val="24"/>
        </w:rPr>
        <w:t>1)(</w:t>
      </w:r>
      <w:proofErr w:type="gramEnd"/>
      <w:r w:rsidRPr="003C74F8">
        <w:rPr>
          <w:rFonts w:ascii="Californian FB" w:hAnsi="Californian FB" w:cs="Times New Roman"/>
          <w:sz w:val="24"/>
          <w:szCs w:val="24"/>
        </w:rPr>
        <w:t xml:space="preserve">amending 17 U.S.C. § 301(c)). Thus, while before the enactment of the CPAA sound recordings would have remained under state law protection until 2067, under the CPAA once the federal term ends state law protection will be largely or entirely unavailable as well.  The practical upshot: </w:t>
      </w:r>
      <w:r w:rsidR="00E40AC1">
        <w:rPr>
          <w:rFonts w:ascii="Californian FB" w:hAnsi="Californian FB" w:cs="Times New Roman"/>
          <w:sz w:val="24"/>
          <w:szCs w:val="24"/>
        </w:rPr>
        <w:t xml:space="preserve">you can now </w:t>
      </w:r>
      <w:r w:rsidRPr="003C74F8">
        <w:rPr>
          <w:rFonts w:ascii="Californian FB" w:hAnsi="Californian FB" w:cs="Times New Roman"/>
          <w:sz w:val="24"/>
          <w:szCs w:val="24"/>
        </w:rPr>
        <w:t xml:space="preserve">pass out to your friends as many copies of the records that </w:t>
      </w:r>
      <w:hyperlink r:id="rId300" w:history="1">
        <w:r w:rsidRPr="003C74F8">
          <w:rPr>
            <w:rStyle w:val="Hyperlink"/>
            <w:rFonts w:ascii="Californian FB" w:hAnsi="Californian FB" w:cs="Times New Roman"/>
            <w:sz w:val="24"/>
            <w:szCs w:val="24"/>
          </w:rPr>
          <w:t>Enrico Caruso published in his lifetime</w:t>
        </w:r>
      </w:hyperlink>
      <w:r w:rsidRPr="003C74F8">
        <w:rPr>
          <w:rFonts w:ascii="Californian FB" w:hAnsi="Californian FB" w:cs="Times New Roman"/>
          <w:sz w:val="24"/>
          <w:szCs w:val="24"/>
        </w:rPr>
        <w:t xml:space="preserve"> as you would like, and </w:t>
      </w:r>
      <w:r w:rsidR="00E40AC1">
        <w:rPr>
          <w:rFonts w:ascii="Californian FB" w:hAnsi="Californian FB" w:cs="Times New Roman"/>
          <w:sz w:val="24"/>
          <w:szCs w:val="24"/>
        </w:rPr>
        <w:t xml:space="preserve">you </w:t>
      </w:r>
      <w:r w:rsidRPr="003C74F8">
        <w:rPr>
          <w:rFonts w:ascii="Californian FB" w:hAnsi="Californian FB" w:cs="Times New Roman"/>
          <w:sz w:val="24"/>
          <w:szCs w:val="24"/>
        </w:rPr>
        <w:t>will not be potentially liable under state law.</w:t>
      </w:r>
    </w:p>
    <w:p w14:paraId="5A97872F" w14:textId="6A569C88"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 xml:space="preserve">Yet another twist of the CPAA is that it does not render entirely moot litigation about potential state-law liability for public performance of sound recordings.  First, the CPAA has very narrow preemptive effect for some activities that took place with respect to pre-1972 sound recordings before the effective date of the Act.  In that regard, it allows broadcasters to treat certain categories of pre-CPAA digital audio transmissions as if they were already governed by federal law, and to pay any royalties due and thereby escape state-law liability.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17 U.S.C. § 1401(e). (The digital audio transmissions that are eligible for that treatment are “exempt transmissions” and “statutory-license transmissions,” not “negotiated-license transmissions” – see Chapter 12.E. above in this supplement for a discussion of those categories.) That does not affect any potential state-law liability for pre-CPAA public performances that were not digital audio transmissions, nor does it affect the negotiated-license transmissions made by on-demand streamers like Spotify and Pandora Premium</w:t>
      </w:r>
      <w:r w:rsidR="00812772">
        <w:rPr>
          <w:rFonts w:ascii="Californian FB" w:hAnsi="Californian FB" w:cs="Times New Roman"/>
          <w:sz w:val="24"/>
          <w:szCs w:val="24"/>
        </w:rPr>
        <w:t xml:space="preserve">. However, as mentioned above, owners of pre-1972 sound recordings have lost their </w:t>
      </w:r>
      <w:r w:rsidR="00E40AC1">
        <w:rPr>
          <w:rFonts w:ascii="Californian FB" w:hAnsi="Californian FB" w:cs="Times New Roman"/>
          <w:sz w:val="24"/>
          <w:szCs w:val="24"/>
        </w:rPr>
        <w:t xml:space="preserve">cases regarding public performance rights under New York, Florida, and California law, and it seems unlikely that they will try anywhere else. </w:t>
      </w:r>
    </w:p>
    <w:p w14:paraId="0229F982" w14:textId="77777777" w:rsidR="003C74F8" w:rsidRP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lastRenderedPageBreak/>
        <w:t>Second, as far as post-enactment activities are concerned, the CPAA generally preempts state law, but it provides that it has no effect on possible federal preemption of potential state-law liability for “</w:t>
      </w:r>
      <w:proofErr w:type="spellStart"/>
      <w:r w:rsidRPr="003C74F8">
        <w:rPr>
          <w:rFonts w:ascii="Californian FB" w:hAnsi="Californian FB" w:cs="Times New Roman"/>
          <w:sz w:val="24"/>
          <w:szCs w:val="24"/>
        </w:rPr>
        <w:t>nonsubscription</w:t>
      </w:r>
      <w:proofErr w:type="spellEnd"/>
      <w:r w:rsidRPr="003C74F8">
        <w:rPr>
          <w:rFonts w:ascii="Californian FB" w:hAnsi="Californian FB" w:cs="Times New Roman"/>
          <w:sz w:val="24"/>
          <w:szCs w:val="24"/>
        </w:rPr>
        <w:t xml:space="preserve"> broadcast transmissions” that are not covered by § 1401, i.e., that are not digital audio transmissions.  </w:t>
      </w:r>
      <w:r w:rsidRPr="003C74F8">
        <w:rPr>
          <w:rFonts w:ascii="Californian FB" w:hAnsi="Californian FB" w:cs="Times New Roman"/>
          <w:i/>
          <w:iCs/>
          <w:sz w:val="24"/>
          <w:szCs w:val="24"/>
        </w:rPr>
        <w:t xml:space="preserve">See </w:t>
      </w:r>
      <w:r w:rsidRPr="003C74F8">
        <w:rPr>
          <w:rFonts w:ascii="Californian FB" w:hAnsi="Californian FB" w:cs="Times New Roman"/>
          <w:sz w:val="24"/>
          <w:szCs w:val="24"/>
        </w:rPr>
        <w:t xml:space="preserve">CPAA § 202(a)(1) (amending 17 U.S.C. § 301(c)). That means that there might still be </w:t>
      </w:r>
      <w:proofErr w:type="spellStart"/>
      <w:r w:rsidRPr="003C74F8">
        <w:rPr>
          <w:rFonts w:ascii="Californian FB" w:hAnsi="Californian FB" w:cs="Times New Roman"/>
          <w:sz w:val="24"/>
          <w:szCs w:val="24"/>
        </w:rPr>
        <w:t>nonpreempted</w:t>
      </w:r>
      <w:proofErr w:type="spellEnd"/>
      <w:r w:rsidRPr="003C74F8">
        <w:rPr>
          <w:rFonts w:ascii="Californian FB" w:hAnsi="Californian FB" w:cs="Times New Roman"/>
          <w:sz w:val="24"/>
          <w:szCs w:val="24"/>
        </w:rPr>
        <w:t xml:space="preserve"> state-law liability for analog or audiovisual public performances of sound recordings.  While your casebook authors believe that a court would likely hold that state-law liability for public performances of at least post-1971 sound recordings are preempted by the Copyright Act, the CPAA states that that issue should be decided as if the CPAA didn’t exist.  And while we are on the subject of coordination of the CPAA with other provisions, we should mention that the CPAA does not acknowledge anywhere that pre-1972 sound recordings of foreign origin have been protected by federal copyright since 1995 under § 104A of the Copyright Act. Thus, courts may be called on to reconcile § 1401 with § 104A.</w:t>
      </w:r>
    </w:p>
    <w:p w14:paraId="1F55A521" w14:textId="7FC5B181" w:rsidR="003C74F8" w:rsidRDefault="003C74F8" w:rsidP="003C74F8">
      <w:pPr>
        <w:ind w:firstLine="720"/>
        <w:jc w:val="both"/>
        <w:rPr>
          <w:rFonts w:ascii="Californian FB" w:hAnsi="Californian FB" w:cs="Times New Roman"/>
          <w:sz w:val="24"/>
          <w:szCs w:val="24"/>
        </w:rPr>
      </w:pPr>
      <w:r w:rsidRPr="003C74F8">
        <w:rPr>
          <w:rFonts w:ascii="Californian FB" w:hAnsi="Californian FB" w:cs="Times New Roman"/>
          <w:sz w:val="24"/>
          <w:szCs w:val="24"/>
        </w:rPr>
        <w:t>There are a number of other twists and turns to the CPAA, so if you come across an issue involving a pre-1972 sound recording in real life, we advise you to go to the statute and read it carefully.  However, we think we have already presented enough twists and turns to make you queasy.  That is the nature of contemporary copyright legislation: complex negotiations between industry players, resulting in complex provisions.</w:t>
      </w:r>
    </w:p>
    <w:p w14:paraId="3FFE97C2" w14:textId="7F9BA47D" w:rsidR="009A331A" w:rsidRDefault="009A331A" w:rsidP="009A331A">
      <w:pPr>
        <w:jc w:val="both"/>
        <w:rPr>
          <w:rFonts w:ascii="Californian FB" w:hAnsi="Californian FB" w:cs="Times New Roman"/>
          <w:b/>
          <w:bCs/>
          <w:i/>
          <w:iCs/>
          <w:sz w:val="28"/>
          <w:szCs w:val="28"/>
        </w:rPr>
      </w:pPr>
      <w:r w:rsidRPr="009A331A">
        <w:rPr>
          <w:rFonts w:ascii="Californian FB" w:hAnsi="Californian FB" w:cs="Times New Roman"/>
          <w:b/>
          <w:bCs/>
          <w:sz w:val="28"/>
          <w:szCs w:val="28"/>
        </w:rPr>
        <w:t xml:space="preserve">Chapter 13: </w:t>
      </w:r>
      <w:r w:rsidRPr="009A331A">
        <w:rPr>
          <w:rFonts w:ascii="Californian FB" w:hAnsi="Californian FB" w:cs="Times New Roman"/>
          <w:b/>
          <w:bCs/>
          <w:i/>
          <w:iCs/>
          <w:sz w:val="28"/>
          <w:szCs w:val="28"/>
        </w:rPr>
        <w:t>Remedies</w:t>
      </w:r>
    </w:p>
    <w:p w14:paraId="51F9AE84" w14:textId="46899886" w:rsidR="009A331A" w:rsidRDefault="009A331A" w:rsidP="009A331A">
      <w:pPr>
        <w:jc w:val="both"/>
        <w:rPr>
          <w:rFonts w:ascii="Californian FB" w:hAnsi="Californian FB" w:cs="Times New Roman"/>
          <w:b/>
          <w:bCs/>
          <w:sz w:val="28"/>
          <w:szCs w:val="28"/>
        </w:rPr>
      </w:pPr>
      <w:r>
        <w:rPr>
          <w:rFonts w:ascii="Californian FB" w:hAnsi="Californian FB" w:cs="Times New Roman"/>
          <w:b/>
          <w:bCs/>
          <w:sz w:val="28"/>
          <w:szCs w:val="28"/>
        </w:rPr>
        <w:t>A. Damages: Compensation and Restitution</w:t>
      </w:r>
    </w:p>
    <w:p w14:paraId="3E123FAC" w14:textId="761F7303" w:rsidR="003B2CB4" w:rsidRDefault="009A331A" w:rsidP="009A331A">
      <w:pPr>
        <w:jc w:val="both"/>
        <w:rPr>
          <w:rFonts w:ascii="Californian FB" w:hAnsi="Californian FB" w:cs="Times New Roman"/>
          <w:sz w:val="28"/>
          <w:szCs w:val="28"/>
        </w:rPr>
      </w:pPr>
      <w:r>
        <w:rPr>
          <w:rFonts w:ascii="Californian FB" w:hAnsi="Californian FB" w:cs="Times New Roman"/>
          <w:sz w:val="28"/>
          <w:szCs w:val="28"/>
        </w:rPr>
        <w:t xml:space="preserve">Page 1016 – At the bottom of the page, add the following </w:t>
      </w:r>
      <w:r w:rsidR="003B2CB4">
        <w:rPr>
          <w:rFonts w:ascii="Californian FB" w:hAnsi="Californian FB" w:cs="Times New Roman"/>
          <w:sz w:val="28"/>
          <w:szCs w:val="28"/>
        </w:rPr>
        <w:t>box:</w:t>
      </w:r>
    </w:p>
    <w:p w14:paraId="3F4D1074" w14:textId="2F8C404A" w:rsidR="00B45263" w:rsidRDefault="008E2675" w:rsidP="003B2CB4">
      <w:pPr>
        <w:jc w:val="center"/>
        <w:rPr>
          <w:rFonts w:ascii="Californian FB" w:hAnsi="Californian FB" w:cs="Times New Roman"/>
          <w:b/>
          <w:bCs/>
          <w:sz w:val="28"/>
          <w:szCs w:val="28"/>
        </w:rPr>
      </w:pPr>
      <w:r w:rsidRPr="00F37744">
        <w:rPr>
          <w:rFonts w:ascii="Californian FB" w:hAnsi="Californian FB"/>
          <w:noProof/>
          <w:color w:val="000000"/>
        </w:rPr>
        <mc:AlternateContent>
          <mc:Choice Requires="wps">
            <w:drawing>
              <wp:anchor distT="0" distB="0" distL="114300" distR="114300" simplePos="0" relativeHeight="251695104" behindDoc="0" locked="0" layoutInCell="1" allowOverlap="1" wp14:anchorId="7C7C99DF" wp14:editId="613ED11A">
                <wp:simplePos x="0" y="0"/>
                <wp:positionH relativeFrom="column">
                  <wp:posOffset>-196487</wp:posOffset>
                </wp:positionH>
                <wp:positionV relativeFrom="paragraph">
                  <wp:posOffset>154668</wp:posOffset>
                </wp:positionV>
                <wp:extent cx="6432867" cy="3749584"/>
                <wp:effectExtent l="19050" t="19050" r="44450" b="419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867" cy="3749584"/>
                        </a:xfrm>
                        <a:prstGeom prst="rect">
                          <a:avLst/>
                        </a:prstGeom>
                        <a:noFill/>
                        <a:ln w="63500">
                          <a:solidFill>
                            <a:srgbClr val="548D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6C8EE" id="Rectangle 16" o:spid="_x0000_s1026" style="position:absolute;margin-left:-15.45pt;margin-top:12.2pt;width:506.5pt;height:29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" filled="f" strokecolor="#548dd4" strokeweight="5pt"/>
            </w:pict>
          </mc:Fallback>
        </mc:AlternateContent>
      </w:r>
    </w:p>
    <w:p w14:paraId="6DD069FF" w14:textId="6C27AB38" w:rsidR="003B2CB4" w:rsidRPr="003B2CB4" w:rsidRDefault="003B2CB4" w:rsidP="003B2CB4">
      <w:pPr>
        <w:jc w:val="center"/>
        <w:rPr>
          <w:rFonts w:ascii="Californian FB" w:hAnsi="Californian FB" w:cs="Times New Roman"/>
          <w:b/>
          <w:bCs/>
          <w:sz w:val="28"/>
          <w:szCs w:val="28"/>
        </w:rPr>
      </w:pPr>
      <w:r>
        <w:rPr>
          <w:rFonts w:ascii="Californian FB" w:hAnsi="Californian FB" w:cs="Times New Roman"/>
          <w:b/>
          <w:bCs/>
          <w:sz w:val="28"/>
          <w:szCs w:val="28"/>
        </w:rPr>
        <w:t>State and Federal Immunity</w:t>
      </w:r>
    </w:p>
    <w:p w14:paraId="7896E0F1" w14:textId="695E09D0" w:rsidR="00875C95" w:rsidRDefault="00E50124" w:rsidP="003A08FA">
      <w:pPr>
        <w:autoSpaceDE w:val="0"/>
        <w:autoSpaceDN w:val="0"/>
        <w:adjustRightInd w:val="0"/>
        <w:spacing w:after="120" w:line="240" w:lineRule="auto"/>
        <w:jc w:val="both"/>
        <w:rPr>
          <w:rFonts w:ascii="Californian FB" w:hAnsi="Californian FB" w:cs="BerkeleyStd-Book"/>
          <w:sz w:val="24"/>
          <w:szCs w:val="24"/>
        </w:rPr>
      </w:pPr>
      <w:r>
        <w:rPr>
          <w:rFonts w:ascii="Californian FB" w:hAnsi="Californian FB" w:cs="BerkeleyStd-Book"/>
          <w:sz w:val="24"/>
          <w:szCs w:val="24"/>
        </w:rPr>
        <w:t>Whether state and federal governments can be sued for copyright infringement is a complicated topic</w:t>
      </w:r>
      <w:r w:rsidR="003A08FA">
        <w:rPr>
          <w:rFonts w:ascii="Californian FB" w:hAnsi="Californian FB" w:cs="BerkeleyStd-Book"/>
          <w:sz w:val="24"/>
          <w:szCs w:val="24"/>
        </w:rPr>
        <w:t>.  The</w:t>
      </w:r>
      <w:r w:rsidR="00875C95">
        <w:rPr>
          <w:rFonts w:ascii="Californian FB" w:hAnsi="Californian FB" w:cs="BerkeleyStd-Book"/>
          <w:sz w:val="24"/>
          <w:szCs w:val="24"/>
        </w:rPr>
        <w:t xml:space="preserve"> </w:t>
      </w:r>
      <w:r>
        <w:rPr>
          <w:rFonts w:ascii="Californian FB" w:hAnsi="Californian FB" w:cs="BerkeleyStd-Book"/>
          <w:sz w:val="24"/>
          <w:szCs w:val="24"/>
        </w:rPr>
        <w:t>moving parts</w:t>
      </w:r>
      <w:r w:rsidR="00875C95">
        <w:rPr>
          <w:rFonts w:ascii="Californian FB" w:hAnsi="Californian FB" w:cs="BerkeleyStd-Book"/>
          <w:sz w:val="24"/>
          <w:szCs w:val="24"/>
        </w:rPr>
        <w:t xml:space="preserve"> </w:t>
      </w:r>
      <w:r>
        <w:rPr>
          <w:rFonts w:ascii="Californian FB" w:hAnsi="Californian FB" w:cs="BerkeleyStd-Book"/>
          <w:sz w:val="24"/>
          <w:szCs w:val="24"/>
        </w:rPr>
        <w:t xml:space="preserve">include federal statutes, Eleventh Amendment jurisprudence, and Takings Clause jurisprudence.  </w:t>
      </w:r>
      <w:r w:rsidR="00875C95">
        <w:rPr>
          <w:rFonts w:ascii="Californian FB" w:hAnsi="Californian FB" w:cs="BerkeleyStd-Book"/>
          <w:sz w:val="24"/>
          <w:szCs w:val="24"/>
        </w:rPr>
        <w:t>Here’s a brief introduction.</w:t>
      </w:r>
    </w:p>
    <w:p w14:paraId="51A7E827" w14:textId="0077DC47" w:rsidR="00F73987" w:rsidRDefault="00875C95" w:rsidP="003B2CB4">
      <w:pPr>
        <w:autoSpaceDE w:val="0"/>
        <w:autoSpaceDN w:val="0"/>
        <w:adjustRightInd w:val="0"/>
        <w:spacing w:after="0" w:line="240" w:lineRule="auto"/>
        <w:jc w:val="both"/>
        <w:rPr>
          <w:rFonts w:ascii="Californian FB" w:hAnsi="Californian FB" w:cs="BerkeleyStd-Book"/>
          <w:sz w:val="24"/>
          <w:szCs w:val="24"/>
        </w:rPr>
      </w:pPr>
      <w:r>
        <w:rPr>
          <w:rFonts w:ascii="Californian FB" w:hAnsi="Californian FB" w:cs="BerkeleyStd-Book"/>
          <w:b/>
          <w:bCs/>
          <w:sz w:val="24"/>
          <w:szCs w:val="24"/>
        </w:rPr>
        <w:t xml:space="preserve">Attempted Federal Abrogation of State Sovereign Immunity.  </w:t>
      </w:r>
      <w:r w:rsidR="00645B81">
        <w:rPr>
          <w:rFonts w:ascii="Californian FB" w:hAnsi="Californian FB" w:cs="BerkeleyStd-Book"/>
          <w:sz w:val="24"/>
          <w:szCs w:val="24"/>
        </w:rPr>
        <w:t xml:space="preserve">In 1990, Congress enacted amendments to the Copyright Act that purport to </w:t>
      </w:r>
      <w:r w:rsidR="00511674">
        <w:rPr>
          <w:rFonts w:ascii="Californian FB" w:hAnsi="Californian FB" w:cs="BerkeleyStd-Book"/>
          <w:sz w:val="24"/>
          <w:szCs w:val="24"/>
        </w:rPr>
        <w:t xml:space="preserve">abrogate state sovereign immunity in copyright infringement lawsuits, </w:t>
      </w:r>
      <w:r w:rsidR="00645B81">
        <w:rPr>
          <w:rFonts w:ascii="Californian FB" w:hAnsi="Californian FB" w:cs="BerkeleyStd-Book"/>
          <w:sz w:val="24"/>
          <w:szCs w:val="24"/>
        </w:rPr>
        <w:t>render</w:t>
      </w:r>
      <w:r w:rsidR="00511674">
        <w:rPr>
          <w:rFonts w:ascii="Californian FB" w:hAnsi="Californian FB" w:cs="BerkeleyStd-Book"/>
          <w:sz w:val="24"/>
          <w:szCs w:val="24"/>
        </w:rPr>
        <w:t>ing</w:t>
      </w:r>
      <w:r w:rsidR="00645B81">
        <w:rPr>
          <w:rFonts w:ascii="Californian FB" w:hAnsi="Californian FB" w:cs="BerkeleyStd-Book"/>
          <w:sz w:val="24"/>
          <w:szCs w:val="24"/>
        </w:rPr>
        <w:t xml:space="preserve"> states </w:t>
      </w:r>
      <w:r w:rsidR="00511674">
        <w:rPr>
          <w:rFonts w:ascii="Californian FB" w:hAnsi="Californian FB" w:cs="BerkeleyStd-Book"/>
          <w:sz w:val="24"/>
          <w:szCs w:val="24"/>
        </w:rPr>
        <w:t xml:space="preserve">that are defendants in those suits subject to the same remedies as private parties, including </w:t>
      </w:r>
      <w:r w:rsidR="00645B81">
        <w:rPr>
          <w:rFonts w:ascii="Californian FB" w:hAnsi="Californian FB" w:cs="BerkeleyStd-Book"/>
          <w:sz w:val="24"/>
          <w:szCs w:val="24"/>
        </w:rPr>
        <w:t xml:space="preserve">damages. </w:t>
      </w:r>
      <w:r w:rsidR="00645B81" w:rsidRPr="00645B81">
        <w:rPr>
          <w:rFonts w:ascii="Californian FB" w:hAnsi="Californian FB" w:cs="BerkeleyStd-Book"/>
          <w:i/>
          <w:iCs/>
          <w:sz w:val="24"/>
          <w:szCs w:val="24"/>
        </w:rPr>
        <w:t xml:space="preserve">See </w:t>
      </w:r>
      <w:r w:rsidR="00645B81" w:rsidRPr="00645B81">
        <w:rPr>
          <w:rFonts w:ascii="Californian FB" w:hAnsi="Californian FB" w:cs="Times New Roman"/>
          <w:color w:val="000000"/>
          <w:sz w:val="24"/>
          <w:szCs w:val="24"/>
        </w:rPr>
        <w:t>Copyright Remedy Clarification Act of 1990</w:t>
      </w:r>
      <w:r w:rsidR="00464F15">
        <w:rPr>
          <w:rFonts w:ascii="Californian FB" w:hAnsi="Californian FB" w:cs="Times New Roman"/>
          <w:color w:val="000000"/>
          <w:sz w:val="24"/>
          <w:szCs w:val="24"/>
        </w:rPr>
        <w:t>,</w:t>
      </w:r>
      <w:r w:rsidR="00511674">
        <w:rPr>
          <w:rFonts w:ascii="Californian FB" w:hAnsi="Californian FB" w:cs="Times New Roman"/>
          <w:color w:val="000000"/>
          <w:sz w:val="24"/>
          <w:szCs w:val="24"/>
        </w:rPr>
        <w:t xml:space="preserve"> Pub. L. 101-553, 104 Stat. 2749 </w:t>
      </w:r>
      <w:r w:rsidR="00511674" w:rsidRPr="00511674">
        <w:rPr>
          <w:rFonts w:ascii="Californian FB" w:hAnsi="Californian FB"/>
          <w:sz w:val="24"/>
          <w:szCs w:val="24"/>
          <w:shd w:val="clear" w:color="auto" w:fill="FFFFFF"/>
        </w:rPr>
        <w:t>(codified at 17 U.S.C. §§ 501(a), 511)</w:t>
      </w:r>
      <w:r w:rsidR="00464F15">
        <w:rPr>
          <w:rFonts w:ascii="Californian FB" w:hAnsi="Californian FB"/>
          <w:sz w:val="24"/>
          <w:szCs w:val="24"/>
          <w:shd w:val="clear" w:color="auto" w:fill="FFFFFF"/>
        </w:rPr>
        <w:t xml:space="preserve"> (hereinafter “CRCA”)</w:t>
      </w:r>
      <w:r w:rsidR="00511674">
        <w:rPr>
          <w:rFonts w:ascii="Californian FB" w:hAnsi="Californian FB"/>
          <w:sz w:val="24"/>
          <w:szCs w:val="24"/>
          <w:shd w:val="clear" w:color="auto" w:fill="FFFFFF"/>
        </w:rPr>
        <w:t xml:space="preserve">.  </w:t>
      </w:r>
      <w:r w:rsidR="00511674">
        <w:rPr>
          <w:sz w:val="25"/>
          <w:szCs w:val="25"/>
          <w:shd w:val="clear" w:color="auto" w:fill="FFFFFF"/>
        </w:rPr>
        <w:t xml:space="preserve"> </w:t>
      </w:r>
      <w:r w:rsidR="003B2CB4" w:rsidRPr="00645B81">
        <w:rPr>
          <w:rFonts w:ascii="Californian FB" w:hAnsi="Californian FB" w:cs="BerkeleyStd-Book"/>
          <w:sz w:val="24"/>
          <w:szCs w:val="24"/>
        </w:rPr>
        <w:t>In</w:t>
      </w:r>
      <w:r w:rsidR="003B2CB4" w:rsidRPr="003B2CB4">
        <w:rPr>
          <w:rFonts w:ascii="Californian FB" w:hAnsi="Californian FB" w:cs="BerkeleyStd-Book"/>
          <w:sz w:val="24"/>
          <w:szCs w:val="24"/>
        </w:rPr>
        <w:t xml:space="preserve"> the late 1990s, </w:t>
      </w:r>
      <w:r w:rsidR="00511674">
        <w:rPr>
          <w:rFonts w:ascii="Californian FB" w:hAnsi="Californian FB" w:cs="BerkeleyStd-Book"/>
          <w:sz w:val="24"/>
          <w:szCs w:val="24"/>
        </w:rPr>
        <w:t xml:space="preserve">the Supreme Court held that similar attempts to abrogate state sovereign immunity in </w:t>
      </w:r>
      <w:r w:rsidR="00F73987">
        <w:rPr>
          <w:rFonts w:ascii="Californian FB" w:hAnsi="Californian FB" w:cs="BerkeleyStd-Book"/>
          <w:sz w:val="24"/>
          <w:szCs w:val="24"/>
        </w:rPr>
        <w:t xml:space="preserve">federal </w:t>
      </w:r>
      <w:r w:rsidR="00511674">
        <w:rPr>
          <w:rFonts w:ascii="Californian FB" w:hAnsi="Californian FB" w:cs="BerkeleyStd-Book"/>
          <w:sz w:val="24"/>
          <w:szCs w:val="24"/>
        </w:rPr>
        <w:t xml:space="preserve">patent and trademark lawsuits were </w:t>
      </w:r>
      <w:r w:rsidR="003B2CB4" w:rsidRPr="003B2CB4">
        <w:rPr>
          <w:rFonts w:ascii="Californian FB" w:hAnsi="Californian FB" w:cs="BerkeleyStd-Book"/>
          <w:sz w:val="24"/>
          <w:szCs w:val="24"/>
        </w:rPr>
        <w:t>not a valid exercise of any of Congress’s constitutional powers.</w:t>
      </w:r>
      <w:r w:rsidR="003B2CB4">
        <w:rPr>
          <w:rFonts w:ascii="Californian FB" w:hAnsi="Californian FB" w:cs="BerkeleyStd-Book"/>
          <w:sz w:val="24"/>
          <w:szCs w:val="24"/>
        </w:rPr>
        <w:t xml:space="preserve"> </w:t>
      </w:r>
      <w:r w:rsidR="003B2CB4" w:rsidRPr="003B2CB4">
        <w:rPr>
          <w:rFonts w:ascii="Californian FB" w:hAnsi="Californian FB" w:cs="BerkeleyStd-BookItalic"/>
          <w:i/>
          <w:iCs/>
          <w:sz w:val="24"/>
          <w:szCs w:val="24"/>
        </w:rPr>
        <w:t>See Florida Prepaid Postsecondary Educ. Expense Bd. v. College Savings</w:t>
      </w:r>
      <w:r w:rsidR="003B2CB4">
        <w:rPr>
          <w:rFonts w:ascii="Californian FB" w:hAnsi="Californian FB" w:cs="BerkeleyStd-BookItalic"/>
          <w:i/>
          <w:iCs/>
          <w:sz w:val="24"/>
          <w:szCs w:val="24"/>
        </w:rPr>
        <w:t xml:space="preserve"> </w:t>
      </w:r>
      <w:r w:rsidR="003B2CB4" w:rsidRPr="003B2CB4">
        <w:rPr>
          <w:rFonts w:ascii="Californian FB" w:hAnsi="Californian FB" w:cs="BerkeleyStd-BookItalic"/>
          <w:i/>
          <w:iCs/>
          <w:sz w:val="24"/>
          <w:szCs w:val="24"/>
        </w:rPr>
        <w:t xml:space="preserve">Bank, </w:t>
      </w:r>
      <w:r w:rsidR="003B2CB4" w:rsidRPr="003B2CB4">
        <w:rPr>
          <w:rFonts w:ascii="Californian FB" w:hAnsi="Californian FB" w:cs="BerkeleyStd-Book"/>
          <w:sz w:val="24"/>
          <w:szCs w:val="24"/>
        </w:rPr>
        <w:t xml:space="preserve">527 U.S. 627 (1999) (Patent Act); </w:t>
      </w:r>
      <w:r w:rsidR="003B2CB4" w:rsidRPr="003B2CB4">
        <w:rPr>
          <w:rFonts w:ascii="Californian FB" w:hAnsi="Californian FB" w:cs="BerkeleyStd-BookItalic"/>
          <w:i/>
          <w:iCs/>
          <w:sz w:val="24"/>
          <w:szCs w:val="24"/>
        </w:rPr>
        <w:t>College Savings Bank v. Florida Prepaid</w:t>
      </w:r>
      <w:r w:rsidR="003B2CB4">
        <w:rPr>
          <w:rFonts w:ascii="Californian FB" w:hAnsi="Californian FB" w:cs="BerkeleyStd-BookItalic"/>
          <w:i/>
          <w:iCs/>
          <w:sz w:val="24"/>
          <w:szCs w:val="24"/>
        </w:rPr>
        <w:t xml:space="preserve"> </w:t>
      </w:r>
      <w:r w:rsidR="003B2CB4" w:rsidRPr="003B2CB4">
        <w:rPr>
          <w:rFonts w:ascii="Californian FB" w:hAnsi="Californian FB" w:cs="BerkeleyStd-BookItalic"/>
          <w:i/>
          <w:iCs/>
          <w:sz w:val="24"/>
          <w:szCs w:val="24"/>
        </w:rPr>
        <w:t xml:space="preserve">Postsecondary Educ. Expense Bd., </w:t>
      </w:r>
      <w:r w:rsidR="003B2CB4" w:rsidRPr="003B2CB4">
        <w:rPr>
          <w:rFonts w:ascii="Californian FB" w:hAnsi="Californian FB" w:cs="BerkeleyStd-Book"/>
          <w:sz w:val="24"/>
          <w:szCs w:val="24"/>
        </w:rPr>
        <w:t>527 U.S. 666 (1999) (Lanham Act).</w:t>
      </w:r>
      <w:r w:rsidR="00B45263">
        <w:rPr>
          <w:rFonts w:ascii="Californian FB" w:hAnsi="Californian FB" w:cs="BerkeleyStd-Book"/>
          <w:sz w:val="24"/>
          <w:szCs w:val="24"/>
        </w:rPr>
        <w:t xml:space="preserve"> </w:t>
      </w:r>
      <w:r w:rsidR="00F73987">
        <w:rPr>
          <w:rFonts w:ascii="Californian FB" w:hAnsi="Californian FB" w:cs="BerkeleyStd-Book"/>
          <w:sz w:val="24"/>
          <w:szCs w:val="24"/>
        </w:rPr>
        <w:t>At that time, however, the Court did not consider whether Congress’s attempt to abrogate state sovereign immunity in copyright lawsuits was valid.</w:t>
      </w:r>
    </w:p>
    <w:p w14:paraId="60FC806F" w14:textId="211D178B" w:rsidR="00F73987" w:rsidRDefault="00F73987" w:rsidP="003B2CB4">
      <w:pPr>
        <w:autoSpaceDE w:val="0"/>
        <w:autoSpaceDN w:val="0"/>
        <w:adjustRightInd w:val="0"/>
        <w:spacing w:after="0" w:line="240" w:lineRule="auto"/>
        <w:jc w:val="both"/>
        <w:rPr>
          <w:rFonts w:ascii="Californian FB" w:hAnsi="Californian FB" w:cs="BerkeleyStd-Book"/>
          <w:sz w:val="24"/>
          <w:szCs w:val="24"/>
        </w:rPr>
      </w:pPr>
    </w:p>
    <w:p w14:paraId="31EF162C" w14:textId="668F8050" w:rsidR="0083263B" w:rsidRDefault="00F73987" w:rsidP="00B45263">
      <w:pPr>
        <w:autoSpaceDE w:val="0"/>
        <w:autoSpaceDN w:val="0"/>
        <w:adjustRightInd w:val="0"/>
        <w:spacing w:after="0" w:line="240" w:lineRule="auto"/>
        <w:jc w:val="both"/>
        <w:rPr>
          <w:rFonts w:ascii="Californian FB" w:hAnsi="Californian FB" w:cs="BerkeleyStd-Book"/>
          <w:sz w:val="24"/>
          <w:szCs w:val="24"/>
        </w:rPr>
      </w:pPr>
      <w:r>
        <w:rPr>
          <w:rFonts w:ascii="Californian FB" w:hAnsi="Californian FB" w:cs="BerkeleyStd-Book"/>
          <w:sz w:val="24"/>
          <w:szCs w:val="24"/>
        </w:rPr>
        <w:t xml:space="preserve">Two decades later, in </w:t>
      </w:r>
      <w:r w:rsidRPr="00F73987">
        <w:rPr>
          <w:rFonts w:ascii="Californian FB" w:hAnsi="Californian FB" w:cs="BerkeleyStd-Book"/>
          <w:i/>
          <w:iCs/>
          <w:sz w:val="24"/>
          <w:szCs w:val="24"/>
        </w:rPr>
        <w:t>Allen v. Cooper</w:t>
      </w:r>
      <w:r w:rsidRPr="00F73987">
        <w:rPr>
          <w:rFonts w:ascii="Californian FB" w:hAnsi="Californian FB" w:cs="BerkeleyStd-Book"/>
          <w:sz w:val="24"/>
          <w:szCs w:val="24"/>
        </w:rPr>
        <w:t>, 140 S.</w:t>
      </w:r>
      <w:r w:rsidR="00464F15">
        <w:rPr>
          <w:rFonts w:ascii="Californian FB" w:hAnsi="Californian FB" w:cs="BerkeleyStd-Book"/>
          <w:sz w:val="24"/>
          <w:szCs w:val="24"/>
        </w:rPr>
        <w:t xml:space="preserve"> </w:t>
      </w:r>
      <w:r w:rsidRPr="00F73987">
        <w:rPr>
          <w:rFonts w:ascii="Californian FB" w:hAnsi="Californian FB" w:cs="BerkeleyStd-Book"/>
          <w:sz w:val="24"/>
          <w:szCs w:val="24"/>
        </w:rPr>
        <w:t>Ct. 994 (2020)</w:t>
      </w:r>
      <w:r>
        <w:rPr>
          <w:rFonts w:ascii="Californian FB" w:hAnsi="Californian FB" w:cs="BerkeleyStd-Book"/>
          <w:sz w:val="24"/>
          <w:szCs w:val="24"/>
        </w:rPr>
        <w:t xml:space="preserve">, the Court held that Congress’s attempt to subject states to the full range of copyright infringement remedies failed in much the same way </w:t>
      </w:r>
      <w:r w:rsidR="00751DEB" w:rsidRPr="00F37744">
        <w:rPr>
          <w:rFonts w:ascii="Californian FB" w:hAnsi="Californian FB"/>
          <w:noProof/>
          <w:color w:val="000000"/>
        </w:rPr>
        <w:lastRenderedPageBreak/>
        <mc:AlternateContent>
          <mc:Choice Requires="wps">
            <w:drawing>
              <wp:anchor distT="0" distB="0" distL="114300" distR="114300" simplePos="0" relativeHeight="251759616" behindDoc="0" locked="0" layoutInCell="1" allowOverlap="1" wp14:anchorId="30653282" wp14:editId="4019A830">
                <wp:simplePos x="0" y="0"/>
                <wp:positionH relativeFrom="column">
                  <wp:posOffset>-255270</wp:posOffset>
                </wp:positionH>
                <wp:positionV relativeFrom="paragraph">
                  <wp:posOffset>-170362</wp:posOffset>
                </wp:positionV>
                <wp:extent cx="6510020" cy="8445681"/>
                <wp:effectExtent l="19050" t="19050" r="43180" b="31750"/>
                <wp:wrapNone/>
                <wp:docPr id="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8445681"/>
                        </a:xfrm>
                        <a:prstGeom prst="rect">
                          <a:avLst/>
                        </a:prstGeom>
                        <a:noFill/>
                        <a:ln w="63500">
                          <a:solidFill>
                            <a:srgbClr val="548D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77F7E" id="Rectangle 16" o:spid="_x0000_s1026" style="position:absolute;margin-left:-20.1pt;margin-top:-13.4pt;width:512.6pt;height: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" filled="f" strokecolor="#548dd4" strokeweight="5pt"/>
            </w:pict>
          </mc:Fallback>
        </mc:AlternateContent>
      </w:r>
      <w:r>
        <w:rPr>
          <w:rFonts w:ascii="Californian FB" w:hAnsi="Californian FB" w:cs="BerkeleyStd-Book"/>
          <w:sz w:val="24"/>
          <w:szCs w:val="24"/>
        </w:rPr>
        <w:t xml:space="preserve">as its attempts with regard to patent and trademark infringement. </w:t>
      </w:r>
      <w:r w:rsidR="003B2CB4" w:rsidRPr="003B2CB4">
        <w:rPr>
          <w:rFonts w:ascii="Californian FB" w:hAnsi="Californian FB" w:cs="BerkeleyStd-Book"/>
          <w:sz w:val="24"/>
          <w:szCs w:val="24"/>
        </w:rPr>
        <w:t xml:space="preserve">The Court </w:t>
      </w:r>
      <w:r w:rsidR="00AF24C3">
        <w:rPr>
          <w:rFonts w:ascii="Californian FB" w:hAnsi="Californian FB" w:cs="BerkeleyStd-Book"/>
          <w:sz w:val="24"/>
          <w:szCs w:val="24"/>
        </w:rPr>
        <w:t xml:space="preserve">reaffirmed its earlier holding </w:t>
      </w:r>
      <w:r>
        <w:rPr>
          <w:rFonts w:ascii="Californian FB" w:hAnsi="Californian FB" w:cs="BerkeleyStd-Book"/>
          <w:sz w:val="24"/>
          <w:szCs w:val="24"/>
        </w:rPr>
        <w:t xml:space="preserve">in the </w:t>
      </w:r>
      <w:r>
        <w:rPr>
          <w:rFonts w:ascii="Californian FB" w:hAnsi="Californian FB" w:cs="BerkeleyStd-Book"/>
          <w:i/>
          <w:iCs/>
          <w:sz w:val="24"/>
          <w:szCs w:val="24"/>
        </w:rPr>
        <w:t>Florida Prepaid</w:t>
      </w:r>
      <w:r>
        <w:rPr>
          <w:rFonts w:ascii="Californian FB" w:hAnsi="Californian FB" w:cs="BerkeleyStd-Book"/>
          <w:sz w:val="24"/>
          <w:szCs w:val="24"/>
        </w:rPr>
        <w:t xml:space="preserve"> cases and in </w:t>
      </w:r>
      <w:r w:rsidR="003B2CB4" w:rsidRPr="003B2CB4">
        <w:rPr>
          <w:rFonts w:ascii="Californian FB" w:hAnsi="Californian FB" w:cs="BerkeleyStd-BookItalic"/>
          <w:i/>
          <w:iCs/>
          <w:sz w:val="24"/>
          <w:szCs w:val="24"/>
        </w:rPr>
        <w:t>Seminole Tribe v. Florida</w:t>
      </w:r>
      <w:r w:rsidR="003B2CB4" w:rsidRPr="003B2CB4">
        <w:rPr>
          <w:rFonts w:ascii="Californian FB" w:hAnsi="Californian FB" w:cs="BerkeleyStd-Book"/>
          <w:sz w:val="24"/>
          <w:szCs w:val="24"/>
        </w:rPr>
        <w:t>,</w:t>
      </w:r>
      <w:r w:rsidR="003B2CB4">
        <w:rPr>
          <w:rFonts w:ascii="Californian FB" w:hAnsi="Californian FB" w:cs="BerkeleyStd-Book"/>
          <w:sz w:val="24"/>
          <w:szCs w:val="24"/>
        </w:rPr>
        <w:t xml:space="preserve"> </w:t>
      </w:r>
      <w:r w:rsidR="003B2CB4" w:rsidRPr="003B2CB4">
        <w:rPr>
          <w:rFonts w:ascii="Californian FB" w:hAnsi="Californian FB" w:cs="BerkeleyStd-Book"/>
          <w:sz w:val="24"/>
          <w:szCs w:val="24"/>
        </w:rPr>
        <w:t>517 U.S. 44 (1996)</w:t>
      </w:r>
      <w:r w:rsidR="00464F15">
        <w:rPr>
          <w:rFonts w:ascii="Californian FB" w:hAnsi="Californian FB" w:cs="BerkeleyStd-Book"/>
          <w:sz w:val="24"/>
          <w:szCs w:val="24"/>
        </w:rPr>
        <w:t>,</w:t>
      </w:r>
      <w:r>
        <w:rPr>
          <w:rFonts w:ascii="Californian FB" w:hAnsi="Californian FB" w:cs="BerkeleyStd-Book"/>
          <w:sz w:val="24"/>
          <w:szCs w:val="24"/>
        </w:rPr>
        <w:t xml:space="preserve"> t</w:t>
      </w:r>
      <w:r w:rsidR="003B2CB4" w:rsidRPr="003B2CB4">
        <w:rPr>
          <w:rFonts w:ascii="Californian FB" w:hAnsi="Californian FB" w:cs="BerkeleyStd-Book"/>
          <w:sz w:val="24"/>
          <w:szCs w:val="24"/>
        </w:rPr>
        <w:t>hat Congress can never abrogate state sovereign</w:t>
      </w:r>
      <w:r w:rsidR="003B2CB4">
        <w:rPr>
          <w:rFonts w:ascii="Californian FB" w:hAnsi="Californian FB" w:cs="BerkeleyStd-Book"/>
          <w:sz w:val="24"/>
          <w:szCs w:val="24"/>
        </w:rPr>
        <w:t xml:space="preserve"> </w:t>
      </w:r>
      <w:r w:rsidR="003B2CB4" w:rsidRPr="003B2CB4">
        <w:rPr>
          <w:rFonts w:ascii="Californian FB" w:hAnsi="Californian FB" w:cs="BerkeleyStd-Book"/>
          <w:sz w:val="24"/>
          <w:szCs w:val="24"/>
        </w:rPr>
        <w:t xml:space="preserve">immunity under its Article I </w:t>
      </w:r>
      <w:proofErr w:type="gramStart"/>
      <w:r w:rsidR="003B2CB4" w:rsidRPr="003B2CB4">
        <w:rPr>
          <w:rFonts w:ascii="Californian FB" w:hAnsi="Californian FB" w:cs="BerkeleyStd-Book"/>
          <w:sz w:val="24"/>
          <w:szCs w:val="24"/>
        </w:rPr>
        <w:t>powers</w:t>
      </w:r>
      <w:proofErr w:type="gramEnd"/>
      <w:r w:rsidR="003B2CB4" w:rsidRPr="003B2CB4">
        <w:rPr>
          <w:rFonts w:ascii="Californian FB" w:hAnsi="Californian FB" w:cs="BerkeleyStd-Book"/>
          <w:sz w:val="24"/>
          <w:szCs w:val="24"/>
        </w:rPr>
        <w:t>, including its powers under the Commerce</w:t>
      </w:r>
      <w:r w:rsidR="003B2CB4">
        <w:rPr>
          <w:rFonts w:ascii="Californian FB" w:hAnsi="Californian FB" w:cs="BerkeleyStd-Book"/>
          <w:sz w:val="24"/>
          <w:szCs w:val="24"/>
        </w:rPr>
        <w:t xml:space="preserve"> </w:t>
      </w:r>
      <w:r w:rsidR="003B2CB4" w:rsidRPr="003B2CB4">
        <w:rPr>
          <w:rFonts w:ascii="Californian FB" w:hAnsi="Californian FB" w:cs="BerkeleyStd-Book"/>
          <w:sz w:val="24"/>
          <w:szCs w:val="24"/>
        </w:rPr>
        <w:t xml:space="preserve">Clause </w:t>
      </w:r>
      <w:r w:rsidR="00645B81">
        <w:rPr>
          <w:rFonts w:ascii="Californian FB" w:hAnsi="Californian FB" w:cs="BerkeleyStd-Book"/>
          <w:sz w:val="24"/>
          <w:szCs w:val="24"/>
        </w:rPr>
        <w:t xml:space="preserve">or the </w:t>
      </w:r>
      <w:r w:rsidR="003B2CB4" w:rsidRPr="003B2CB4">
        <w:rPr>
          <w:rFonts w:ascii="Californian FB" w:hAnsi="Californian FB" w:cs="BerkeleyStd-Book"/>
          <w:sz w:val="24"/>
          <w:szCs w:val="24"/>
        </w:rPr>
        <w:t xml:space="preserve">Intellectual Property Clause. </w:t>
      </w:r>
      <w:r>
        <w:rPr>
          <w:rFonts w:ascii="Californian FB" w:hAnsi="Californian FB" w:cs="BerkeleyStd-Book"/>
          <w:sz w:val="24"/>
          <w:szCs w:val="24"/>
        </w:rPr>
        <w:t xml:space="preserve">Rather, </w:t>
      </w:r>
      <w:r w:rsidR="003B2CB4" w:rsidRPr="003B2CB4">
        <w:rPr>
          <w:rFonts w:ascii="Californian FB" w:hAnsi="Californian FB" w:cs="BerkeleyStd-Book"/>
          <w:sz w:val="24"/>
          <w:szCs w:val="24"/>
        </w:rPr>
        <w:t>Congress</w:t>
      </w:r>
      <w:r w:rsidR="00B45263">
        <w:rPr>
          <w:rFonts w:ascii="Californian FB" w:hAnsi="Californian FB" w:cs="BerkeleyStd-Book"/>
          <w:sz w:val="24"/>
          <w:szCs w:val="24"/>
        </w:rPr>
        <w:t xml:space="preserve"> </w:t>
      </w:r>
      <w:r w:rsidR="003B2CB4" w:rsidRPr="003B2CB4">
        <w:rPr>
          <w:rFonts w:ascii="Californian FB" w:hAnsi="Californian FB" w:cs="BerkeleyStd-Book"/>
          <w:sz w:val="24"/>
          <w:szCs w:val="24"/>
        </w:rPr>
        <w:t xml:space="preserve">can only abrogate state sovereign immunity under </w:t>
      </w:r>
      <w:r w:rsidR="003A2DA7">
        <w:rPr>
          <w:rFonts w:ascii="Californian FB" w:hAnsi="Californian FB" w:cs="BerkeleyStd-Book"/>
          <w:sz w:val="24"/>
          <w:szCs w:val="24"/>
        </w:rPr>
        <w:t xml:space="preserve">its </w:t>
      </w:r>
      <w:r w:rsidR="00AF24C3">
        <w:rPr>
          <w:rFonts w:ascii="Californian FB" w:hAnsi="Californian FB" w:cs="BerkeleyStd-Book"/>
          <w:sz w:val="24"/>
          <w:szCs w:val="24"/>
        </w:rPr>
        <w:t xml:space="preserve">power </w:t>
      </w:r>
      <w:r w:rsidR="003A2DA7">
        <w:rPr>
          <w:rFonts w:ascii="Californian FB" w:hAnsi="Californian FB" w:cs="BerkeleyStd-Book"/>
          <w:sz w:val="24"/>
          <w:szCs w:val="24"/>
        </w:rPr>
        <w:t>to enforce the</w:t>
      </w:r>
      <w:r w:rsidR="003B2CB4" w:rsidRPr="003B2CB4">
        <w:rPr>
          <w:rFonts w:ascii="Californian FB" w:hAnsi="Californian FB" w:cs="BerkeleyStd-Book"/>
          <w:sz w:val="24"/>
          <w:szCs w:val="24"/>
        </w:rPr>
        <w:t xml:space="preserve"> Fourteenth Amendment</w:t>
      </w:r>
      <w:r w:rsidR="003A2DA7">
        <w:rPr>
          <w:rFonts w:ascii="Californian FB" w:hAnsi="Californian FB" w:cs="BerkeleyStd-Book"/>
          <w:sz w:val="24"/>
          <w:szCs w:val="24"/>
        </w:rPr>
        <w:t xml:space="preserve">, which prohibits the states from </w:t>
      </w:r>
      <w:r w:rsidR="003A2DA7" w:rsidRPr="003A2DA7">
        <w:rPr>
          <w:rFonts w:ascii="Californian FB" w:hAnsi="Californian FB" w:cs="BerkeleyStd-Book"/>
          <w:sz w:val="24"/>
          <w:szCs w:val="24"/>
        </w:rPr>
        <w:t>“</w:t>
      </w:r>
      <w:proofErr w:type="spellStart"/>
      <w:r w:rsidR="003A2DA7" w:rsidRPr="003A2DA7">
        <w:rPr>
          <w:rFonts w:ascii="Californian FB" w:hAnsi="Californian FB" w:cs="BerkeleyStd-Book"/>
          <w:sz w:val="24"/>
          <w:szCs w:val="24"/>
        </w:rPr>
        <w:t>depriv</w:t>
      </w:r>
      <w:proofErr w:type="spellEnd"/>
      <w:r w:rsidR="003A2DA7">
        <w:rPr>
          <w:rFonts w:ascii="Californian FB" w:hAnsi="Californian FB" w:cs="BerkeleyStd-Book"/>
          <w:sz w:val="24"/>
          <w:szCs w:val="24"/>
        </w:rPr>
        <w:t>[</w:t>
      </w:r>
      <w:proofErr w:type="spellStart"/>
      <w:r w:rsidR="003A2DA7">
        <w:rPr>
          <w:rFonts w:ascii="Californian FB" w:hAnsi="Californian FB" w:cs="BerkeleyStd-Book"/>
          <w:sz w:val="24"/>
          <w:szCs w:val="24"/>
        </w:rPr>
        <w:t>ing</w:t>
      </w:r>
      <w:proofErr w:type="spellEnd"/>
      <w:r w:rsidR="003A2DA7">
        <w:rPr>
          <w:rFonts w:ascii="Californian FB" w:hAnsi="Californian FB" w:cs="BerkeleyStd-Book"/>
          <w:sz w:val="24"/>
          <w:szCs w:val="24"/>
        </w:rPr>
        <w:t>]</w:t>
      </w:r>
      <w:r w:rsidR="003A2DA7" w:rsidRPr="003A2DA7">
        <w:rPr>
          <w:rFonts w:ascii="Californian FB" w:hAnsi="Californian FB" w:cs="BerkeleyStd-Book"/>
          <w:sz w:val="24"/>
          <w:szCs w:val="24"/>
        </w:rPr>
        <w:t xml:space="preserve"> any person of life, liberty, or property, without due process of law.”</w:t>
      </w:r>
      <w:r w:rsidR="003B2CB4" w:rsidRPr="003B2CB4">
        <w:rPr>
          <w:rFonts w:ascii="Californian FB" w:hAnsi="Californian FB" w:cs="BerkeleyStd-Book"/>
          <w:sz w:val="24"/>
          <w:szCs w:val="24"/>
        </w:rPr>
        <w:t xml:space="preserve"> </w:t>
      </w:r>
      <w:r w:rsidR="003A2DA7">
        <w:rPr>
          <w:rFonts w:ascii="Californian FB" w:hAnsi="Californian FB" w:cs="BerkeleyStd-Book"/>
          <w:sz w:val="24"/>
          <w:szCs w:val="24"/>
        </w:rPr>
        <w:t xml:space="preserve">To exercise that power, Congress must identify state conduct that violates the Fourteenth Amendment, and then must </w:t>
      </w:r>
      <w:r w:rsidR="003B2CB4" w:rsidRPr="003B2CB4">
        <w:rPr>
          <w:rFonts w:ascii="Californian FB" w:hAnsi="Californian FB" w:cs="BerkeleyStd-Book"/>
          <w:sz w:val="24"/>
          <w:szCs w:val="24"/>
        </w:rPr>
        <w:t>tailor its legislative scheme to remedying or preventing such conduct.</w:t>
      </w:r>
      <w:r w:rsidR="003A2DA7">
        <w:rPr>
          <w:rFonts w:ascii="Californian FB" w:hAnsi="Californian FB" w:cs="BerkeleyStd-Book"/>
          <w:sz w:val="24"/>
          <w:szCs w:val="24"/>
        </w:rPr>
        <w:t xml:space="preserve"> </w:t>
      </w:r>
      <w:r w:rsidR="00B43CA5">
        <w:rPr>
          <w:rFonts w:ascii="Californian FB" w:hAnsi="Californian FB" w:cs="BerkeleyStd-Book"/>
          <w:i/>
          <w:iCs/>
          <w:sz w:val="24"/>
          <w:szCs w:val="24"/>
        </w:rPr>
        <w:t xml:space="preserve">Florida Prepaid v. College Savings </w:t>
      </w:r>
      <w:r w:rsidR="00B43CA5" w:rsidRPr="00B43CA5">
        <w:rPr>
          <w:rFonts w:ascii="Californian FB" w:hAnsi="Californian FB" w:cs="BerkeleyStd-Book"/>
          <w:i/>
          <w:iCs/>
          <w:sz w:val="24"/>
          <w:szCs w:val="24"/>
        </w:rPr>
        <w:t>Bank</w:t>
      </w:r>
      <w:r w:rsidR="00B43CA5">
        <w:rPr>
          <w:rFonts w:ascii="Californian FB" w:hAnsi="Californian FB" w:cs="BerkeleyStd-Book"/>
          <w:sz w:val="24"/>
          <w:szCs w:val="24"/>
        </w:rPr>
        <w:t>, 527 U.S. at 639.  Before passing the C</w:t>
      </w:r>
      <w:r w:rsidR="00464F15">
        <w:rPr>
          <w:rFonts w:ascii="Californian FB" w:hAnsi="Californian FB" w:cs="BerkeleyStd-Book"/>
          <w:sz w:val="24"/>
          <w:szCs w:val="24"/>
        </w:rPr>
        <w:t>RCA</w:t>
      </w:r>
      <w:r w:rsidR="00B43CA5">
        <w:rPr>
          <w:rFonts w:ascii="Californian FB" w:hAnsi="Californian FB" w:cs="BerkeleyStd-Book"/>
          <w:sz w:val="24"/>
          <w:szCs w:val="24"/>
        </w:rPr>
        <w:t xml:space="preserve">, Congress did commission Register of Copyrights Ralph Oman to prepare a report on state infringements of copyright.  </w:t>
      </w:r>
      <w:r w:rsidR="00464F15">
        <w:rPr>
          <w:rFonts w:ascii="Californian FB" w:hAnsi="Californian FB" w:cs="BerkeleyStd-Book"/>
          <w:i/>
          <w:iCs/>
          <w:sz w:val="24"/>
          <w:szCs w:val="24"/>
        </w:rPr>
        <w:t>Allen</w:t>
      </w:r>
      <w:r w:rsidR="00464F15">
        <w:rPr>
          <w:rFonts w:ascii="Californian FB" w:hAnsi="Californian FB" w:cs="BerkeleyStd-Book"/>
          <w:sz w:val="24"/>
          <w:szCs w:val="24"/>
        </w:rPr>
        <w:t xml:space="preserve">, 140 S. Ct. at 1006.  However, the </w:t>
      </w:r>
      <w:r w:rsidR="00464F15">
        <w:rPr>
          <w:rFonts w:ascii="Californian FB" w:hAnsi="Californian FB" w:cs="BerkeleyStd-Book"/>
          <w:i/>
          <w:iCs/>
          <w:sz w:val="24"/>
          <w:szCs w:val="24"/>
        </w:rPr>
        <w:t xml:space="preserve">Allen </w:t>
      </w:r>
      <w:r w:rsidR="00464F15">
        <w:rPr>
          <w:rFonts w:ascii="Californian FB" w:hAnsi="Californian FB" w:cs="BerkeleyStd-Book"/>
          <w:sz w:val="24"/>
          <w:szCs w:val="24"/>
        </w:rPr>
        <w:t xml:space="preserve">Court concluded that the report did not identify a pattern of state copyright infringement significant enough to justify wholesale abrogation of state sovereign immunity.  </w:t>
      </w:r>
      <w:r w:rsidR="00464F15">
        <w:rPr>
          <w:rFonts w:ascii="Californian FB" w:hAnsi="Californian FB" w:cs="BerkeleyStd-Book"/>
          <w:i/>
          <w:iCs/>
          <w:sz w:val="24"/>
          <w:szCs w:val="24"/>
        </w:rPr>
        <w:t xml:space="preserve">Id. </w:t>
      </w:r>
      <w:r w:rsidR="00464F15">
        <w:rPr>
          <w:rFonts w:ascii="Californian FB" w:hAnsi="Californian FB" w:cs="BerkeleyStd-Book"/>
          <w:sz w:val="24"/>
          <w:szCs w:val="24"/>
        </w:rPr>
        <w:t xml:space="preserve">at 1006-1007. Thus, the CRCA was not a valid exercise of Congress’s Fourteenth Amendment powers, and states can continue to claim </w:t>
      </w:r>
      <w:r w:rsidR="001542C1">
        <w:rPr>
          <w:rFonts w:ascii="Californian FB" w:hAnsi="Californian FB" w:cs="BerkeleyStd-Book"/>
          <w:sz w:val="24"/>
          <w:szCs w:val="24"/>
        </w:rPr>
        <w:t xml:space="preserve">Eleventh Amendment immunity as copyright infringement defendants.  </w:t>
      </w:r>
      <w:proofErr w:type="gramStart"/>
      <w:r w:rsidR="001542C1">
        <w:rPr>
          <w:rFonts w:ascii="Californian FB" w:hAnsi="Californian FB" w:cs="BerkeleyStd-Book"/>
          <w:i/>
          <w:iCs/>
          <w:sz w:val="24"/>
          <w:szCs w:val="24"/>
        </w:rPr>
        <w:t>Id</w:t>
      </w:r>
      <w:r w:rsidR="001542C1">
        <w:rPr>
          <w:rFonts w:ascii="Californian FB" w:hAnsi="Californian FB" w:cs="BerkeleyStd-Book"/>
          <w:sz w:val="24"/>
          <w:szCs w:val="24"/>
        </w:rPr>
        <w:t xml:space="preserve">  </w:t>
      </w:r>
      <w:r w:rsidR="003B2CB4" w:rsidRPr="003B2CB4">
        <w:rPr>
          <w:rFonts w:ascii="Californian FB" w:hAnsi="Californian FB" w:cs="BerkeleyStd-Book"/>
          <w:sz w:val="24"/>
          <w:szCs w:val="24"/>
        </w:rPr>
        <w:t>However</w:t>
      </w:r>
      <w:proofErr w:type="gramEnd"/>
      <w:r w:rsidR="003B2CB4" w:rsidRPr="003B2CB4">
        <w:rPr>
          <w:rFonts w:ascii="Californian FB" w:hAnsi="Californian FB" w:cs="BerkeleyStd-Book"/>
          <w:sz w:val="24"/>
          <w:szCs w:val="24"/>
        </w:rPr>
        <w:t>, there are two important qualifications to th</w:t>
      </w:r>
      <w:r w:rsidR="001542C1">
        <w:rPr>
          <w:rFonts w:ascii="Californian FB" w:hAnsi="Californian FB" w:cs="BerkeleyStd-Book"/>
          <w:sz w:val="24"/>
          <w:szCs w:val="24"/>
        </w:rPr>
        <w:t>at immunity</w:t>
      </w:r>
      <w:r w:rsidR="003B2CB4" w:rsidRPr="003B2CB4">
        <w:rPr>
          <w:rFonts w:ascii="Californian FB" w:hAnsi="Californian FB" w:cs="BerkeleyStd-Book"/>
          <w:sz w:val="24"/>
          <w:szCs w:val="24"/>
        </w:rPr>
        <w:t>.</w:t>
      </w:r>
    </w:p>
    <w:p w14:paraId="0074BBE7" w14:textId="61669801" w:rsidR="003B2CB4" w:rsidRDefault="003B2CB4" w:rsidP="00B45263">
      <w:pPr>
        <w:autoSpaceDE w:val="0"/>
        <w:autoSpaceDN w:val="0"/>
        <w:adjustRightInd w:val="0"/>
        <w:spacing w:after="0" w:line="240" w:lineRule="auto"/>
        <w:jc w:val="both"/>
        <w:rPr>
          <w:rFonts w:ascii="Californian FB" w:hAnsi="Californian FB" w:cs="BerkeleyStd-Book"/>
          <w:sz w:val="24"/>
          <w:szCs w:val="24"/>
        </w:rPr>
      </w:pPr>
    </w:p>
    <w:p w14:paraId="4F34F2FA" w14:textId="051DE2B9" w:rsidR="003B2CB4" w:rsidRPr="00151849" w:rsidRDefault="003B2CB4" w:rsidP="00B45263">
      <w:pPr>
        <w:autoSpaceDE w:val="0"/>
        <w:autoSpaceDN w:val="0"/>
        <w:adjustRightInd w:val="0"/>
        <w:spacing w:after="0" w:line="240" w:lineRule="auto"/>
        <w:jc w:val="both"/>
        <w:rPr>
          <w:rFonts w:ascii="Californian FB" w:hAnsi="Californian FB" w:cs="BerkeleyStd-Book"/>
          <w:sz w:val="24"/>
          <w:szCs w:val="24"/>
        </w:rPr>
      </w:pPr>
      <w:r w:rsidRPr="00151849">
        <w:rPr>
          <w:rFonts w:ascii="Californian FB" w:hAnsi="Californian FB" w:cs="BerkeleyStd-Book"/>
          <w:sz w:val="24"/>
          <w:szCs w:val="24"/>
        </w:rPr>
        <w:t xml:space="preserve">First, local governments are not considered to be covered by state sovereign immunity. </w:t>
      </w:r>
      <w:r w:rsidRPr="00151849">
        <w:rPr>
          <w:rFonts w:ascii="Californian FB" w:hAnsi="Californian FB" w:cs="BerkeleyStd-BookItalic"/>
          <w:i/>
          <w:iCs/>
          <w:sz w:val="24"/>
          <w:szCs w:val="24"/>
        </w:rPr>
        <w:t>See, e.g., Owen v. City of Independence, Missouri</w:t>
      </w:r>
      <w:r w:rsidRPr="00151849">
        <w:rPr>
          <w:rFonts w:ascii="Californian FB" w:hAnsi="Californian FB" w:cs="BerkeleyStd-Book"/>
          <w:sz w:val="24"/>
          <w:szCs w:val="24"/>
        </w:rPr>
        <w:t xml:space="preserve">, 445 U.S. 622 (1980). Thus, the </w:t>
      </w:r>
      <w:r w:rsidRPr="00151849">
        <w:rPr>
          <w:rFonts w:ascii="Californian FB" w:hAnsi="Californian FB" w:cs="BerkeleyStd-BookItalic"/>
          <w:i/>
          <w:iCs/>
          <w:sz w:val="24"/>
          <w:szCs w:val="24"/>
        </w:rPr>
        <w:t xml:space="preserve">Florida Prepaid </w:t>
      </w:r>
      <w:r w:rsidRPr="00151849">
        <w:rPr>
          <w:rFonts w:ascii="Californian FB" w:hAnsi="Californian FB" w:cs="BerkeleyStd-Book"/>
          <w:sz w:val="24"/>
          <w:szCs w:val="24"/>
        </w:rPr>
        <w:t>cases would not prevent damages</w:t>
      </w:r>
      <w:r w:rsidR="00151849">
        <w:rPr>
          <w:rFonts w:ascii="Californian FB" w:hAnsi="Californian FB" w:cs="BerkeleyStd-Book"/>
          <w:sz w:val="24"/>
          <w:szCs w:val="24"/>
        </w:rPr>
        <w:t xml:space="preserve"> </w:t>
      </w:r>
      <w:r w:rsidRPr="00151849">
        <w:rPr>
          <w:rFonts w:ascii="Californian FB" w:hAnsi="Californian FB" w:cs="BerkeleyStd-Book"/>
          <w:sz w:val="24"/>
          <w:szCs w:val="24"/>
        </w:rPr>
        <w:t>actions against cities or towns for copyright infringement.</w:t>
      </w:r>
    </w:p>
    <w:p w14:paraId="36E9E709" w14:textId="36C29385" w:rsidR="003B2CB4" w:rsidRPr="00151849" w:rsidRDefault="003B2CB4" w:rsidP="00B45263">
      <w:pPr>
        <w:autoSpaceDE w:val="0"/>
        <w:autoSpaceDN w:val="0"/>
        <w:adjustRightInd w:val="0"/>
        <w:spacing w:after="0" w:line="240" w:lineRule="auto"/>
        <w:jc w:val="both"/>
        <w:rPr>
          <w:rFonts w:ascii="Californian FB" w:hAnsi="Californian FB" w:cs="BerkeleyStd-Book"/>
          <w:sz w:val="24"/>
          <w:szCs w:val="24"/>
        </w:rPr>
      </w:pPr>
    </w:p>
    <w:p w14:paraId="14BE61F3" w14:textId="3680481A" w:rsidR="00151849" w:rsidRDefault="003B2CB4" w:rsidP="00B45263">
      <w:pPr>
        <w:autoSpaceDE w:val="0"/>
        <w:autoSpaceDN w:val="0"/>
        <w:adjustRightInd w:val="0"/>
        <w:spacing w:after="0" w:line="240" w:lineRule="auto"/>
        <w:jc w:val="both"/>
        <w:rPr>
          <w:rFonts w:ascii="Californian FB" w:hAnsi="Californian FB" w:cs="BerkeleyStd-Book"/>
          <w:sz w:val="24"/>
          <w:szCs w:val="24"/>
        </w:rPr>
      </w:pPr>
      <w:r w:rsidRPr="00151849">
        <w:rPr>
          <w:rFonts w:ascii="Californian FB" w:hAnsi="Californian FB" w:cs="BerkeleyStd-Book"/>
          <w:sz w:val="24"/>
          <w:szCs w:val="24"/>
        </w:rPr>
        <w:t xml:space="preserve">Second, a quirky but venerable rule allows actions for injunctive relief against state officials even though damages actions against the state are unavailable. </w:t>
      </w:r>
      <w:r w:rsidRPr="00151849">
        <w:rPr>
          <w:rFonts w:ascii="Californian FB" w:hAnsi="Californian FB" w:cs="BerkeleyStd-BookItalic"/>
          <w:i/>
          <w:iCs/>
          <w:sz w:val="24"/>
          <w:szCs w:val="24"/>
        </w:rPr>
        <w:t xml:space="preserve">See Ex </w:t>
      </w:r>
      <w:proofErr w:type="spellStart"/>
      <w:r w:rsidRPr="00151849">
        <w:rPr>
          <w:rFonts w:ascii="Californian FB" w:hAnsi="Californian FB" w:cs="BerkeleyStd-BookItalic"/>
          <w:i/>
          <w:iCs/>
          <w:sz w:val="24"/>
          <w:szCs w:val="24"/>
        </w:rPr>
        <w:t>Parte</w:t>
      </w:r>
      <w:proofErr w:type="spellEnd"/>
      <w:r w:rsidRPr="00151849">
        <w:rPr>
          <w:rFonts w:ascii="Californian FB" w:hAnsi="Californian FB" w:cs="BerkeleyStd-BookItalic"/>
          <w:i/>
          <w:iCs/>
          <w:sz w:val="24"/>
          <w:szCs w:val="24"/>
        </w:rPr>
        <w:t xml:space="preserve"> Young</w:t>
      </w:r>
      <w:r w:rsidRPr="00151849">
        <w:rPr>
          <w:rFonts w:ascii="Californian FB" w:hAnsi="Californian FB" w:cs="BerkeleyStd-Book"/>
          <w:sz w:val="24"/>
          <w:szCs w:val="24"/>
        </w:rPr>
        <w:t>, 209 U.S. 123 (1908). In the context of</w:t>
      </w:r>
      <w:r w:rsidR="00151849">
        <w:rPr>
          <w:rFonts w:ascii="Californian FB" w:hAnsi="Californian FB" w:cs="BerkeleyStd-Book"/>
          <w:sz w:val="24"/>
          <w:szCs w:val="24"/>
        </w:rPr>
        <w:t xml:space="preserve"> </w:t>
      </w:r>
      <w:r w:rsidRPr="00151849">
        <w:rPr>
          <w:rFonts w:ascii="Californian FB" w:hAnsi="Californian FB" w:cs="BerkeleyStd-Book"/>
          <w:sz w:val="24"/>
          <w:szCs w:val="24"/>
        </w:rPr>
        <w:t xml:space="preserve">copyright law, that means that a copyright owner can sue for an injunction banning future infringement, even though damages for past infringement are unavailable. For example, in </w:t>
      </w:r>
      <w:r w:rsidRPr="00151849">
        <w:rPr>
          <w:rFonts w:ascii="Californian FB" w:hAnsi="Californian FB" w:cs="BerkeleyStd-BookItalic"/>
          <w:i/>
          <w:iCs/>
          <w:sz w:val="24"/>
          <w:szCs w:val="24"/>
        </w:rPr>
        <w:t>Hairston v. North Carolina Agricultural &amp; Technical State University</w:t>
      </w:r>
      <w:r w:rsidRPr="00151849">
        <w:rPr>
          <w:rFonts w:ascii="Californian FB" w:hAnsi="Californian FB" w:cs="BerkeleyStd-Book"/>
          <w:sz w:val="24"/>
          <w:szCs w:val="24"/>
        </w:rPr>
        <w:t>, 2005 WL 2136923 (M.D.N.C.), the defendant state university reproduced in a number of university publications a photograph of four men at a lunch counter in Greensboro, North Carolina, taken on the thirtieth anniversary of their famous civil rights sit-in at that counter.</w:t>
      </w:r>
      <w:r w:rsidR="00E50124">
        <w:rPr>
          <w:rFonts w:ascii="Californian FB" w:hAnsi="Californian FB" w:cs="BerkeleyStd-Book"/>
          <w:sz w:val="24"/>
          <w:szCs w:val="24"/>
        </w:rPr>
        <w:t xml:space="preserve"> </w:t>
      </w:r>
      <w:r w:rsidR="00151849" w:rsidRPr="00B45263">
        <w:rPr>
          <w:rFonts w:ascii="Californian FB" w:hAnsi="Californian FB" w:cs="BerkeleyStd-Book"/>
          <w:sz w:val="24"/>
          <w:szCs w:val="24"/>
        </w:rPr>
        <w:t xml:space="preserve">The author of that photograph sued, seeking both money damages and injunctive relief. The Magistrate Judge in </w:t>
      </w:r>
      <w:r w:rsidR="00151849" w:rsidRPr="00B45263">
        <w:rPr>
          <w:rFonts w:ascii="Californian FB" w:hAnsi="Californian FB" w:cs="BerkeleyStd-BookItalic"/>
          <w:i/>
          <w:iCs/>
          <w:sz w:val="24"/>
          <w:szCs w:val="24"/>
        </w:rPr>
        <w:t xml:space="preserve">Hairston </w:t>
      </w:r>
      <w:r w:rsidR="00151849" w:rsidRPr="00B45263">
        <w:rPr>
          <w:rFonts w:ascii="Californian FB" w:hAnsi="Californian FB" w:cs="BerkeleyStd-Book"/>
          <w:sz w:val="24"/>
          <w:szCs w:val="24"/>
        </w:rPr>
        <w:t>concluded that the plaintiff could not sue the university for money damages, but could sue</w:t>
      </w:r>
      <w:r w:rsidR="00B45263">
        <w:rPr>
          <w:rFonts w:ascii="Californian FB" w:hAnsi="Californian FB" w:cs="BerkeleyStd-Book"/>
          <w:sz w:val="24"/>
          <w:szCs w:val="24"/>
        </w:rPr>
        <w:t xml:space="preserve"> </w:t>
      </w:r>
      <w:r w:rsidR="00151849" w:rsidRPr="00B45263">
        <w:rPr>
          <w:rFonts w:ascii="Californian FB" w:hAnsi="Californian FB" w:cs="BerkeleyStd-Book"/>
          <w:sz w:val="24"/>
          <w:szCs w:val="24"/>
        </w:rPr>
        <w:t xml:space="preserve">state university officials to prevent future use of the photograph in university publications. </w:t>
      </w:r>
      <w:r w:rsidR="00151849" w:rsidRPr="00B45263">
        <w:rPr>
          <w:rFonts w:ascii="Californian FB" w:hAnsi="Californian FB" w:cs="BerkeleyStd-BookItalic"/>
          <w:i/>
          <w:iCs/>
          <w:sz w:val="24"/>
          <w:szCs w:val="24"/>
        </w:rPr>
        <w:t xml:space="preserve">See id. </w:t>
      </w:r>
      <w:r w:rsidR="00151849" w:rsidRPr="00B45263">
        <w:rPr>
          <w:rFonts w:ascii="Californian FB" w:hAnsi="Californian FB" w:cs="BerkeleyStd-Book"/>
          <w:sz w:val="24"/>
          <w:szCs w:val="24"/>
        </w:rPr>
        <w:t xml:space="preserve">at 8; </w:t>
      </w:r>
      <w:r w:rsidR="00151849" w:rsidRPr="00B45263">
        <w:rPr>
          <w:rFonts w:ascii="Californian FB" w:hAnsi="Californian FB" w:cs="BerkeleyStd-BookItalic"/>
          <w:i/>
          <w:iCs/>
          <w:sz w:val="24"/>
          <w:szCs w:val="24"/>
        </w:rPr>
        <w:t>see also Salerno v. City University of New York</w:t>
      </w:r>
      <w:r w:rsidR="00151849" w:rsidRPr="00B45263">
        <w:rPr>
          <w:rFonts w:ascii="Californian FB" w:hAnsi="Californian FB" w:cs="BerkeleyStd-Book"/>
          <w:sz w:val="24"/>
          <w:szCs w:val="24"/>
        </w:rPr>
        <w:t xml:space="preserve">, 191 F.Supp.2d 352, 357 (S.D.N.Y. 2001) (allowing a copyright infringement suit for injunctive relief against state university officials to proceed). </w:t>
      </w:r>
    </w:p>
    <w:p w14:paraId="1255CE38" w14:textId="44CE3E82" w:rsidR="00E50124" w:rsidRDefault="00E50124" w:rsidP="00B45263">
      <w:pPr>
        <w:autoSpaceDE w:val="0"/>
        <w:autoSpaceDN w:val="0"/>
        <w:adjustRightInd w:val="0"/>
        <w:spacing w:after="0" w:line="240" w:lineRule="auto"/>
        <w:jc w:val="both"/>
        <w:rPr>
          <w:rFonts w:ascii="Californian FB" w:hAnsi="Californian FB" w:cs="BerkeleyStd-Book"/>
          <w:sz w:val="24"/>
          <w:szCs w:val="24"/>
        </w:rPr>
      </w:pPr>
    </w:p>
    <w:p w14:paraId="11F3E910" w14:textId="21BEDFEC" w:rsidR="00E50124" w:rsidRPr="00E50124" w:rsidRDefault="00875C95" w:rsidP="00E50124">
      <w:pPr>
        <w:jc w:val="both"/>
        <w:rPr>
          <w:rFonts w:ascii="Californian FB" w:hAnsi="Californian FB"/>
          <w:sz w:val="24"/>
          <w:szCs w:val="24"/>
        </w:rPr>
      </w:pPr>
      <w:r>
        <w:rPr>
          <w:rFonts w:ascii="Californian FB" w:hAnsi="Californian FB"/>
          <w:b/>
          <w:bCs/>
          <w:sz w:val="24"/>
          <w:szCs w:val="24"/>
        </w:rPr>
        <w:t xml:space="preserve">The Takings Clause Route.  </w:t>
      </w:r>
      <w:r w:rsidR="00E50124" w:rsidRPr="00E50124">
        <w:rPr>
          <w:rFonts w:ascii="Californian FB" w:hAnsi="Californian FB"/>
          <w:sz w:val="24"/>
          <w:szCs w:val="24"/>
        </w:rPr>
        <w:t>Given this state of affairs, readers with a good memory of first</w:t>
      </w:r>
      <w:r>
        <w:rPr>
          <w:rFonts w:ascii="Californian FB" w:hAnsi="Californian FB"/>
          <w:sz w:val="24"/>
          <w:szCs w:val="24"/>
        </w:rPr>
        <w:t>-</w:t>
      </w:r>
      <w:r w:rsidR="00E50124" w:rsidRPr="00E50124">
        <w:rPr>
          <w:rFonts w:ascii="Californian FB" w:hAnsi="Californian FB"/>
          <w:sz w:val="24"/>
          <w:szCs w:val="24"/>
        </w:rPr>
        <w:t>year property law might have an idea for a clever workaround.  Here’s the concept:  If a state (or state agency) engages in act of infringement, the copyright owner would first secure an injunction against continued use of the work</w:t>
      </w:r>
      <w:r>
        <w:rPr>
          <w:rFonts w:ascii="Californian FB" w:hAnsi="Californian FB"/>
          <w:sz w:val="24"/>
          <w:szCs w:val="24"/>
        </w:rPr>
        <w:t xml:space="preserve"> under the “Ex </w:t>
      </w:r>
      <w:proofErr w:type="spellStart"/>
      <w:r>
        <w:rPr>
          <w:rFonts w:ascii="Californian FB" w:hAnsi="Californian FB"/>
          <w:sz w:val="24"/>
          <w:szCs w:val="24"/>
        </w:rPr>
        <w:t>Parte</w:t>
      </w:r>
      <w:proofErr w:type="spellEnd"/>
      <w:r>
        <w:rPr>
          <w:rFonts w:ascii="Californian FB" w:hAnsi="Californian FB"/>
          <w:sz w:val="24"/>
          <w:szCs w:val="24"/>
        </w:rPr>
        <w:t xml:space="preserve"> Young” </w:t>
      </w:r>
      <w:r w:rsidR="00EA53CB">
        <w:rPr>
          <w:rFonts w:ascii="Californian FB" w:hAnsi="Californian FB"/>
          <w:sz w:val="24"/>
          <w:szCs w:val="24"/>
        </w:rPr>
        <w:t xml:space="preserve">rule described </w:t>
      </w:r>
      <w:proofErr w:type="gramStart"/>
      <w:r w:rsidR="00EA53CB">
        <w:rPr>
          <w:rFonts w:ascii="Californian FB" w:hAnsi="Californian FB"/>
          <w:sz w:val="24"/>
          <w:szCs w:val="24"/>
        </w:rPr>
        <w:t>above.</w:t>
      </w:r>
      <w:r w:rsidR="00E50124" w:rsidRPr="00E50124">
        <w:rPr>
          <w:rFonts w:ascii="Californian FB" w:hAnsi="Californian FB"/>
          <w:sz w:val="24"/>
          <w:szCs w:val="24"/>
        </w:rPr>
        <w:t>.</w:t>
      </w:r>
      <w:proofErr w:type="gramEnd"/>
      <w:r w:rsidR="00E50124" w:rsidRPr="00E50124">
        <w:rPr>
          <w:rFonts w:ascii="Californian FB" w:hAnsi="Californian FB"/>
          <w:sz w:val="24"/>
          <w:szCs w:val="24"/>
        </w:rPr>
        <w:t xml:space="preserve">  Then, the owner would file what is known as a “reverse condemnation” proceeding in state court seeking money damages for the past use of the work. </w:t>
      </w:r>
    </w:p>
    <w:p w14:paraId="3060A817" w14:textId="3A6BBBE1" w:rsidR="00E50124" w:rsidRPr="00E50124" w:rsidRDefault="00E50124" w:rsidP="00E50124">
      <w:pPr>
        <w:jc w:val="both"/>
        <w:rPr>
          <w:rFonts w:ascii="Californian FB" w:hAnsi="Californian FB"/>
          <w:sz w:val="24"/>
          <w:szCs w:val="24"/>
        </w:rPr>
      </w:pPr>
      <w:r w:rsidRPr="00E50124">
        <w:rPr>
          <w:rFonts w:ascii="Californian FB" w:hAnsi="Californian FB"/>
          <w:sz w:val="24"/>
          <w:szCs w:val="24"/>
        </w:rPr>
        <w:t xml:space="preserve">A reverse condemnation case is a claim under principles of the law of eminent domain.  The U.S. Constitution, as well as the Constitution in every state, forbids state governments from taking private property without just compensation.  When the government wants to seize tangible property, such as real estate, for a public purpose like the construction of a highway, it brings a </w:t>
      </w:r>
      <w:r w:rsidR="00751DEB" w:rsidRPr="00E50124">
        <w:rPr>
          <w:rFonts w:ascii="Californian FB" w:hAnsi="Californian FB"/>
          <w:noProof/>
          <w:color w:val="000000"/>
          <w:sz w:val="24"/>
          <w:szCs w:val="24"/>
        </w:rPr>
        <w:lastRenderedPageBreak/>
        <mc:AlternateContent>
          <mc:Choice Requires="wps">
            <w:drawing>
              <wp:anchor distT="0" distB="0" distL="114300" distR="114300" simplePos="0" relativeHeight="251743232" behindDoc="0" locked="0" layoutInCell="1" allowOverlap="1" wp14:anchorId="666E8CCC" wp14:editId="27848FED">
                <wp:simplePos x="0" y="0"/>
                <wp:positionH relativeFrom="column">
                  <wp:posOffset>-255270</wp:posOffset>
                </wp:positionH>
                <wp:positionV relativeFrom="paragraph">
                  <wp:posOffset>-91984</wp:posOffset>
                </wp:positionV>
                <wp:extent cx="6476365" cy="8243207"/>
                <wp:effectExtent l="19050" t="19050" r="38735" b="43815"/>
                <wp:wrapNone/>
                <wp:docPr id="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8243207"/>
                        </a:xfrm>
                        <a:prstGeom prst="rect">
                          <a:avLst/>
                        </a:prstGeom>
                        <a:noFill/>
                        <a:ln w="63500">
                          <a:solidFill>
                            <a:srgbClr val="548D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4BED" id="Rectangle 16" o:spid="_x0000_s1026" style="position:absolute;margin-left:-20.1pt;margin-top:-7.25pt;width:509.95pt;height:64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" filled="f" strokecolor="#548dd4" strokeweight="5pt"/>
            </w:pict>
          </mc:Fallback>
        </mc:AlternateContent>
      </w:r>
      <w:r w:rsidRPr="00E50124">
        <w:rPr>
          <w:rFonts w:ascii="Californian FB" w:hAnsi="Californian FB"/>
          <w:sz w:val="24"/>
          <w:szCs w:val="24"/>
        </w:rPr>
        <w:t>suit to “condemn” the property and establish the fair price to be paid to the owner.  If, however, the government simply takes the property without asking, the owner can file suit seeking the compensation owed.  That is what is meant by “reverse condemnation.”  Moreover, unlike copyright suits which must be filed in Federal court, where the states have Eleventh Amendment immunity, reverse condemnation cases can and usually are filed in state courts</w:t>
      </w:r>
      <w:r w:rsidR="00EA53CB">
        <w:rPr>
          <w:rFonts w:ascii="Californian FB" w:hAnsi="Californian FB"/>
          <w:sz w:val="24"/>
          <w:szCs w:val="24"/>
        </w:rPr>
        <w:t>,</w:t>
      </w:r>
      <w:r w:rsidRPr="00E50124">
        <w:rPr>
          <w:rFonts w:ascii="Californian FB" w:hAnsi="Californian FB"/>
          <w:sz w:val="24"/>
          <w:szCs w:val="24"/>
        </w:rPr>
        <w:t xml:space="preserve"> and the states cannot claim immunity from such suits in their own courts because the constitutional taking clauses act as waivers of any possible immunity.</w:t>
      </w:r>
    </w:p>
    <w:p w14:paraId="09006D30" w14:textId="3BB65DD8" w:rsidR="00E50124" w:rsidRPr="00E50124" w:rsidRDefault="00E50124" w:rsidP="00E50124">
      <w:pPr>
        <w:jc w:val="both"/>
        <w:rPr>
          <w:rFonts w:ascii="Californian FB" w:hAnsi="Californian FB"/>
          <w:sz w:val="24"/>
          <w:szCs w:val="24"/>
        </w:rPr>
      </w:pPr>
      <w:proofErr w:type="gramStart"/>
      <w:r w:rsidRPr="00E50124">
        <w:rPr>
          <w:rFonts w:ascii="Californian FB" w:hAnsi="Californian FB"/>
          <w:sz w:val="24"/>
          <w:szCs w:val="24"/>
        </w:rPr>
        <w:t>So</w:t>
      </w:r>
      <w:proofErr w:type="gramEnd"/>
      <w:r w:rsidRPr="00E50124">
        <w:rPr>
          <w:rFonts w:ascii="Californian FB" w:hAnsi="Californian FB"/>
          <w:sz w:val="24"/>
          <w:szCs w:val="24"/>
        </w:rPr>
        <w:t xml:space="preserve"> will this work as a way to get monetary damages for state government copyright infringement?  Probably not.</w:t>
      </w:r>
    </w:p>
    <w:p w14:paraId="78414531" w14:textId="3E912CE3" w:rsidR="00E50124" w:rsidRPr="00E50124" w:rsidRDefault="00E50124" w:rsidP="00E50124">
      <w:pPr>
        <w:spacing w:line="275" w:lineRule="atLeast"/>
        <w:jc w:val="both"/>
        <w:rPr>
          <w:rFonts w:ascii="Californian FB" w:hAnsi="Californian FB"/>
          <w:sz w:val="24"/>
          <w:szCs w:val="24"/>
        </w:rPr>
      </w:pPr>
      <w:r w:rsidRPr="00E50124">
        <w:rPr>
          <w:rFonts w:ascii="Californian FB" w:hAnsi="Californian FB"/>
          <w:sz w:val="24"/>
          <w:szCs w:val="24"/>
        </w:rPr>
        <w:t xml:space="preserve">A recent case explains why.  In </w:t>
      </w:r>
      <w:r w:rsidRPr="00E50124">
        <w:rPr>
          <w:rFonts w:ascii="Californian FB" w:hAnsi="Californian FB"/>
          <w:i/>
          <w:sz w:val="24"/>
          <w:szCs w:val="24"/>
        </w:rPr>
        <w:t xml:space="preserve">Jim Olive Photography v. Univ. of Houston Sys., </w:t>
      </w:r>
      <w:r w:rsidRPr="00E50124">
        <w:rPr>
          <w:rFonts w:ascii="Californian FB" w:hAnsi="Californian FB"/>
          <w:color w:val="000000"/>
          <w:sz w:val="24"/>
          <w:szCs w:val="24"/>
        </w:rPr>
        <w:t xml:space="preserve">624 S.W.3d 764 </w:t>
      </w:r>
      <w:r w:rsidRPr="00E50124">
        <w:rPr>
          <w:rFonts w:ascii="Californian FB" w:hAnsi="Californian FB"/>
          <w:sz w:val="24"/>
          <w:szCs w:val="24"/>
        </w:rPr>
        <w:t xml:space="preserve">(Tex. 2021), plaintiff was a professional photographer who had taken several aerial photographs of the city of Houston.  The folks at the University of Houston’s Business School decided that one of those photos would look good on several of its web pages, so it began displaying downloaded copies of the photo without seeking Mr. Olive’s permission.  </w:t>
      </w:r>
      <w:r w:rsidR="00EA53CB">
        <w:rPr>
          <w:rFonts w:ascii="Californian FB" w:hAnsi="Californian FB"/>
          <w:sz w:val="24"/>
          <w:szCs w:val="24"/>
        </w:rPr>
        <w:t>Because t</w:t>
      </w:r>
      <w:r w:rsidRPr="00E50124">
        <w:rPr>
          <w:rFonts w:ascii="Californian FB" w:hAnsi="Californian FB"/>
          <w:sz w:val="24"/>
          <w:szCs w:val="24"/>
        </w:rPr>
        <w:t>he University of Houston is a public institution</w:t>
      </w:r>
      <w:r w:rsidR="00EA53CB">
        <w:rPr>
          <w:rFonts w:ascii="Californian FB" w:hAnsi="Californian FB"/>
          <w:sz w:val="24"/>
          <w:szCs w:val="24"/>
        </w:rPr>
        <w:t>,</w:t>
      </w:r>
      <w:r w:rsidRPr="00E50124">
        <w:rPr>
          <w:rFonts w:ascii="Californian FB" w:hAnsi="Californian FB"/>
          <w:sz w:val="24"/>
          <w:szCs w:val="24"/>
        </w:rPr>
        <w:t xml:space="preserve"> the State of Texas was, technically, the infringing party.  Years later, when Olive discovered that his photo was on the school’s </w:t>
      </w:r>
      <w:r w:rsidR="00EA53CB">
        <w:rPr>
          <w:rFonts w:ascii="Californian FB" w:hAnsi="Californian FB"/>
          <w:sz w:val="24"/>
          <w:szCs w:val="24"/>
        </w:rPr>
        <w:t>web</w:t>
      </w:r>
      <w:r w:rsidRPr="00E50124">
        <w:rPr>
          <w:rFonts w:ascii="Californian FB" w:hAnsi="Californian FB"/>
          <w:sz w:val="24"/>
          <w:szCs w:val="24"/>
        </w:rPr>
        <w:t>site</w:t>
      </w:r>
      <w:r w:rsidR="00EA53CB">
        <w:rPr>
          <w:rFonts w:ascii="Californian FB" w:hAnsi="Californian FB"/>
          <w:sz w:val="24"/>
          <w:szCs w:val="24"/>
        </w:rPr>
        <w:t>,</w:t>
      </w:r>
      <w:r w:rsidRPr="00E50124">
        <w:rPr>
          <w:rFonts w:ascii="Californian FB" w:hAnsi="Californian FB"/>
          <w:sz w:val="24"/>
          <w:szCs w:val="24"/>
        </w:rPr>
        <w:t xml:space="preserve"> he contacted them and they immediately removed </w:t>
      </w:r>
      <w:r w:rsidR="00EA53CB">
        <w:rPr>
          <w:rFonts w:ascii="Californian FB" w:hAnsi="Californian FB"/>
          <w:sz w:val="24"/>
          <w:szCs w:val="24"/>
        </w:rPr>
        <w:t>it</w:t>
      </w:r>
      <w:r w:rsidRPr="00E50124">
        <w:rPr>
          <w:rFonts w:ascii="Californian FB" w:hAnsi="Californian FB"/>
          <w:sz w:val="24"/>
          <w:szCs w:val="24"/>
        </w:rPr>
        <w:t>.  The University, however, did not pay Mr. Olive for their long-time use of the image prior to his communication.  Olive then brought a reverse condemnation suit in state court claiming that the use of his picture was a governmental taking of property and seeing compensation.</w:t>
      </w:r>
    </w:p>
    <w:p w14:paraId="0C2FC302" w14:textId="7C74B352" w:rsidR="00E50124" w:rsidRPr="00E50124" w:rsidRDefault="00E50124" w:rsidP="00E50124">
      <w:pPr>
        <w:spacing w:line="275" w:lineRule="atLeast"/>
        <w:jc w:val="both"/>
        <w:rPr>
          <w:rFonts w:ascii="Californian FB" w:hAnsi="Californian FB"/>
          <w:sz w:val="24"/>
          <w:szCs w:val="24"/>
        </w:rPr>
      </w:pPr>
      <w:r w:rsidRPr="00E50124">
        <w:rPr>
          <w:rFonts w:ascii="Californian FB" w:hAnsi="Californian FB"/>
          <w:sz w:val="24"/>
          <w:szCs w:val="24"/>
        </w:rPr>
        <w:tab/>
        <w:t xml:space="preserve">The Texas Supreme Court concluded that the infringement of copyright on the facts presented did not rise to the level of a “taking” requiring compensation.  It began by noting that all government action may tend to reduce the value of private property somewhat.  Zoning laws, for instance, prevent certain uses that might make property more valuable.  Even constructing a bus stop on the street adjacent to one’s home might reduce the value of the property.  </w:t>
      </w:r>
      <w:proofErr w:type="gramStart"/>
      <w:r w:rsidRPr="00E50124">
        <w:rPr>
          <w:rFonts w:ascii="Californian FB" w:hAnsi="Californian FB"/>
          <w:sz w:val="24"/>
          <w:szCs w:val="24"/>
        </w:rPr>
        <w:t>Thus</w:t>
      </w:r>
      <w:proofErr w:type="gramEnd"/>
      <w:r w:rsidRPr="00E50124">
        <w:rPr>
          <w:rFonts w:ascii="Californian FB" w:hAnsi="Californian FB"/>
          <w:sz w:val="24"/>
          <w:szCs w:val="24"/>
        </w:rPr>
        <w:t xml:space="preserve"> to qualify as a taking “per se,” the government action must significantly interfere with the rights of exclusive ownership.</w:t>
      </w:r>
    </w:p>
    <w:p w14:paraId="2F58AB26" w14:textId="53D3C2B2" w:rsidR="00E50124" w:rsidRPr="00E50124" w:rsidRDefault="00E50124" w:rsidP="00E50124">
      <w:pPr>
        <w:spacing w:line="275" w:lineRule="atLeast"/>
        <w:jc w:val="both"/>
        <w:rPr>
          <w:rFonts w:ascii="Californian FB" w:hAnsi="Californian FB"/>
          <w:sz w:val="24"/>
          <w:szCs w:val="24"/>
        </w:rPr>
      </w:pPr>
      <w:r w:rsidRPr="00E50124">
        <w:rPr>
          <w:rFonts w:ascii="Californian FB" w:hAnsi="Californian FB"/>
          <w:sz w:val="24"/>
          <w:szCs w:val="24"/>
        </w:rPr>
        <w:tab/>
        <w:t xml:space="preserve">In the case of copyright </w:t>
      </w:r>
      <w:proofErr w:type="gramStart"/>
      <w:r w:rsidRPr="00E50124">
        <w:rPr>
          <w:rFonts w:ascii="Californian FB" w:hAnsi="Californian FB"/>
          <w:sz w:val="24"/>
          <w:szCs w:val="24"/>
        </w:rPr>
        <w:t>infringement</w:t>
      </w:r>
      <w:proofErr w:type="gramEnd"/>
      <w:r w:rsidRPr="00E50124">
        <w:rPr>
          <w:rFonts w:ascii="Californian FB" w:hAnsi="Californian FB"/>
          <w:sz w:val="24"/>
          <w:szCs w:val="24"/>
        </w:rPr>
        <w:t xml:space="preserve"> the copyright owner retains the right to exclude all others from using the work and, of course, to license or assign the work for money.  As the court put it “[a]</w:t>
      </w:r>
      <w:proofErr w:type="spellStart"/>
      <w:r w:rsidRPr="00E50124">
        <w:rPr>
          <w:rFonts w:ascii="Californian FB" w:hAnsi="Californian FB"/>
          <w:sz w:val="24"/>
          <w:szCs w:val="24"/>
        </w:rPr>
        <w:t>llegations</w:t>
      </w:r>
      <w:proofErr w:type="spellEnd"/>
      <w:r w:rsidRPr="00E50124">
        <w:rPr>
          <w:rFonts w:ascii="Californian FB" w:hAnsi="Californian FB"/>
          <w:sz w:val="24"/>
          <w:szCs w:val="24"/>
        </w:rPr>
        <w:t xml:space="preserve"> of copyright infringement assert a violation of the owner's copyright, but not its confiscation, and therefore factual allegations of an infringement do not alone allege a taking.”   Can you imagine any situations where the effects of state government infringement would be so severe as to amount to a virtual destruction of the value of the copyright?  What if a state University decided to reproduce a text book without obtaining a license from the copyright holder, and made the copies available for free to anyone in the state who wanted them, both students and non-students alike—would that effectively destroy the value of the copyright?</w:t>
      </w:r>
    </w:p>
    <w:p w14:paraId="30237377" w14:textId="28966980" w:rsidR="00151849" w:rsidRPr="00E50124" w:rsidRDefault="00E50124" w:rsidP="00EA53CB">
      <w:pPr>
        <w:spacing w:line="275" w:lineRule="atLeast"/>
        <w:jc w:val="both"/>
        <w:rPr>
          <w:rFonts w:ascii="Californian FB" w:hAnsi="Californian FB" w:cs="BerkeleyStd-Book"/>
          <w:sz w:val="24"/>
          <w:szCs w:val="24"/>
        </w:rPr>
      </w:pPr>
      <w:r w:rsidRPr="00E50124">
        <w:rPr>
          <w:rFonts w:ascii="Californian FB" w:hAnsi="Californian FB"/>
          <w:sz w:val="24"/>
          <w:szCs w:val="24"/>
        </w:rPr>
        <w:tab/>
        <w:t xml:space="preserve">There is another branch of eminent domain and takings law that involves “regulatory takings.”  In these </w:t>
      </w:r>
      <w:proofErr w:type="gramStart"/>
      <w:r w:rsidRPr="00E50124">
        <w:rPr>
          <w:rFonts w:ascii="Californian FB" w:hAnsi="Californian FB"/>
          <w:sz w:val="24"/>
          <w:szCs w:val="24"/>
        </w:rPr>
        <w:t>cases</w:t>
      </w:r>
      <w:proofErr w:type="gramEnd"/>
      <w:r w:rsidRPr="00E50124">
        <w:rPr>
          <w:rFonts w:ascii="Californian FB" w:hAnsi="Californian FB"/>
          <w:sz w:val="24"/>
          <w:szCs w:val="24"/>
        </w:rPr>
        <w:t xml:space="preserve"> courts use a multi-factor test in an attempt to assess the burden a government action or regulation places on the rights of the property owner.  The plaintiff in the </w:t>
      </w:r>
      <w:r w:rsidRPr="00E50124">
        <w:rPr>
          <w:rFonts w:ascii="Californian FB" w:hAnsi="Californian FB"/>
          <w:i/>
          <w:sz w:val="24"/>
          <w:szCs w:val="24"/>
        </w:rPr>
        <w:t>Olive Photography</w:t>
      </w:r>
      <w:r w:rsidRPr="00E50124">
        <w:rPr>
          <w:rFonts w:ascii="Californian FB" w:hAnsi="Californian FB"/>
          <w:sz w:val="24"/>
          <w:szCs w:val="24"/>
        </w:rPr>
        <w:t xml:space="preserve"> case did not plead a regulatory taking, and so the court refused to consider that possibility.  It’s an unfair question since we haven’t set out any of the regulatory taking factors, but do you think that might have succeeded?  </w:t>
      </w:r>
    </w:p>
    <w:p w14:paraId="7444F067" w14:textId="52137410" w:rsidR="00151849" w:rsidRPr="00E50124" w:rsidRDefault="00751DEB" w:rsidP="00E50124">
      <w:pPr>
        <w:autoSpaceDE w:val="0"/>
        <w:autoSpaceDN w:val="0"/>
        <w:adjustRightInd w:val="0"/>
        <w:spacing w:after="0" w:line="240" w:lineRule="auto"/>
        <w:jc w:val="both"/>
        <w:rPr>
          <w:rFonts w:ascii="Californian FB" w:hAnsi="Californian FB" w:cs="BerkeleyStd-Book"/>
          <w:sz w:val="24"/>
          <w:szCs w:val="24"/>
        </w:rPr>
      </w:pPr>
      <w:r w:rsidRPr="00E50124">
        <w:rPr>
          <w:rFonts w:ascii="Californian FB" w:hAnsi="Californian FB"/>
          <w:noProof/>
          <w:color w:val="000000"/>
          <w:sz w:val="24"/>
          <w:szCs w:val="24"/>
        </w:rPr>
        <w:lastRenderedPageBreak/>
        <mc:AlternateContent>
          <mc:Choice Requires="wps">
            <w:drawing>
              <wp:anchor distT="0" distB="0" distL="114300" distR="114300" simplePos="0" relativeHeight="251745280" behindDoc="0" locked="0" layoutInCell="1" allowOverlap="1" wp14:anchorId="5CA2964F" wp14:editId="4A1A0552">
                <wp:simplePos x="0" y="0"/>
                <wp:positionH relativeFrom="column">
                  <wp:posOffset>-294459</wp:posOffset>
                </wp:positionH>
                <wp:positionV relativeFrom="paragraph">
                  <wp:posOffset>-91984</wp:posOffset>
                </wp:positionV>
                <wp:extent cx="6476365" cy="2861310"/>
                <wp:effectExtent l="19050" t="19050" r="38735" b="3429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2861310"/>
                        </a:xfrm>
                        <a:prstGeom prst="rect">
                          <a:avLst/>
                        </a:prstGeom>
                        <a:noFill/>
                        <a:ln w="63500">
                          <a:solidFill>
                            <a:srgbClr val="548DD4"/>
                          </a:solidFill>
                          <a:miter lim="800000"/>
                          <a:headEnd/>
                          <a:tailEnd/>
                        </a:ln>
                        <a:extLst>
                          <a:ext uri="{909E8E84-426E-40DD-AFC4-6F175D3DCCD1}">
                            <a14:hiddenFill xmlns:a14="http://schemas.microsoft.com/office/drawing/2010/main">
                              <a:solidFill>
                                <a:srgbClr val="FFFFFF"/>
                              </a:solidFill>
                            </a14:hiddenFill>
                          </a:ext>
                        </a:extLst>
                      </wps:spPr>
                      <wps:txbx>
                        <w:txbxContent>
                          <w:p w14:paraId="2DC8D04B" w14:textId="7B9C68F5" w:rsidR="008B0087" w:rsidRDefault="008B0087" w:rsidP="008B00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2964F" id="Rectangle 16" o:spid="_x0000_s1044" style="position:absolute;left:0;text-align:left;margin-left:-23.2pt;margin-top:-7.25pt;width:509.95pt;height:22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" filled="f" strokecolor="#548dd4" strokeweight="5pt">
                <v:textbox>
                  <w:txbxContent>
                    <w:p w14:paraId="2DC8D04B" w14:textId="7B9C68F5" w:rsidR="008B0087" w:rsidRDefault="008B0087" w:rsidP="008B0087">
                      <w:pPr>
                        <w:jc w:val="center"/>
                      </w:pPr>
                    </w:p>
                  </w:txbxContent>
                </v:textbox>
              </v:rect>
            </w:pict>
          </mc:Fallback>
        </mc:AlternateContent>
      </w:r>
      <w:r w:rsidR="003A08FA">
        <w:rPr>
          <w:rFonts w:ascii="Californian FB" w:hAnsi="Californian FB" w:cs="BerkeleyStd-Book"/>
          <w:b/>
          <w:bCs/>
          <w:sz w:val="24"/>
          <w:szCs w:val="24"/>
        </w:rPr>
        <w:t xml:space="preserve">Suing the Federal Government for Copyright Infringement. </w:t>
      </w:r>
      <w:r w:rsidR="00151849" w:rsidRPr="00E50124">
        <w:rPr>
          <w:rFonts w:ascii="Californian FB" w:hAnsi="Californian FB" w:cs="BerkeleyStd-Book"/>
          <w:sz w:val="24"/>
          <w:szCs w:val="24"/>
        </w:rPr>
        <w:t>The federal government is immune from suit unless it consents to be sued</w:t>
      </w:r>
      <w:r w:rsidR="003A08FA">
        <w:rPr>
          <w:rFonts w:ascii="Californian FB" w:hAnsi="Californian FB" w:cs="BerkeleyStd-Book"/>
          <w:sz w:val="24"/>
          <w:szCs w:val="24"/>
        </w:rPr>
        <w:t>.</w:t>
      </w:r>
      <w:r w:rsidR="00151849" w:rsidRPr="00E50124">
        <w:rPr>
          <w:rFonts w:ascii="Californian FB" w:hAnsi="Californian FB" w:cs="BerkeleyStd-Book"/>
          <w:sz w:val="24"/>
          <w:szCs w:val="24"/>
        </w:rPr>
        <w:t xml:space="preserve"> </w:t>
      </w:r>
      <w:r w:rsidR="003A08FA">
        <w:rPr>
          <w:rFonts w:ascii="Californian FB" w:hAnsi="Californian FB" w:cs="BerkeleyStd-Book"/>
          <w:sz w:val="24"/>
          <w:szCs w:val="24"/>
        </w:rPr>
        <w:t>S</w:t>
      </w:r>
      <w:r w:rsidR="00151849" w:rsidRPr="00E50124">
        <w:rPr>
          <w:rFonts w:ascii="Californian FB" w:hAnsi="Californian FB" w:cs="BerkeleyStd-Book"/>
          <w:sz w:val="24"/>
          <w:szCs w:val="24"/>
        </w:rPr>
        <w:t>ince 1960, however, it has consented to be sued for copyright infringement—with some limitations—as provided by 28 U.S.C.</w:t>
      </w:r>
      <w:r w:rsidR="00B45263" w:rsidRPr="00E50124">
        <w:rPr>
          <w:rFonts w:ascii="Californian FB" w:hAnsi="Californian FB" w:cs="BerkeleyStd-Book"/>
          <w:sz w:val="24"/>
          <w:szCs w:val="24"/>
        </w:rPr>
        <w:t xml:space="preserve"> </w:t>
      </w:r>
      <w:r w:rsidR="00151849" w:rsidRPr="00E50124">
        <w:rPr>
          <w:rFonts w:ascii="Californian FB" w:hAnsi="Californian FB" w:cs="BerkeleyStd-Book"/>
          <w:sz w:val="24"/>
          <w:szCs w:val="24"/>
        </w:rPr>
        <w:t>§ 1498(b). Under § 1498(b), a copyright infringement suit against the United States must be brought in the United States Court of Federal Claims, and remedies are limited. Injunctions may not be issued nor costs</w:t>
      </w:r>
      <w:r w:rsidR="00B45263" w:rsidRPr="00E50124">
        <w:rPr>
          <w:rFonts w:ascii="Californian FB" w:hAnsi="Californian FB" w:cs="BerkeleyStd-Book"/>
          <w:sz w:val="24"/>
          <w:szCs w:val="24"/>
        </w:rPr>
        <w:t xml:space="preserve"> </w:t>
      </w:r>
      <w:r w:rsidR="00151849" w:rsidRPr="00E50124">
        <w:rPr>
          <w:rFonts w:ascii="Californian FB" w:hAnsi="Californian FB" w:cs="BerkeleyStd-Book"/>
          <w:sz w:val="24"/>
          <w:szCs w:val="24"/>
        </w:rPr>
        <w:t xml:space="preserve">or attorneys’ fees awarded. The statute does allow “reasonable and entire compensation as damages for . . . infringement.” Thus, for example, in </w:t>
      </w:r>
      <w:r w:rsidR="00151849" w:rsidRPr="00E50124">
        <w:rPr>
          <w:rFonts w:ascii="Californian FB" w:hAnsi="Californian FB" w:cs="BerkeleyStd-BookItalic"/>
          <w:i/>
          <w:iCs/>
          <w:sz w:val="24"/>
          <w:szCs w:val="24"/>
        </w:rPr>
        <w:t xml:space="preserve">Steve Altman Photography v. United States, </w:t>
      </w:r>
      <w:r w:rsidR="00151849" w:rsidRPr="00E50124">
        <w:rPr>
          <w:rFonts w:ascii="Californian FB" w:hAnsi="Californian FB" w:cs="BerkeleyStd-Book"/>
          <w:sz w:val="24"/>
          <w:szCs w:val="24"/>
        </w:rPr>
        <w:t>18 Cl. Ct. 267 (1989)</w:t>
      </w:r>
      <w:r w:rsidR="00B45263" w:rsidRPr="00E50124">
        <w:rPr>
          <w:rFonts w:ascii="Californian FB" w:hAnsi="Californian FB" w:cs="BerkeleyStd-Book"/>
          <w:sz w:val="24"/>
          <w:szCs w:val="24"/>
        </w:rPr>
        <w:t xml:space="preserve">, </w:t>
      </w:r>
      <w:r w:rsidR="00151849" w:rsidRPr="00E50124">
        <w:rPr>
          <w:rFonts w:ascii="Californian FB" w:hAnsi="Californian FB" w:cs="BerkeleyStd-Book"/>
          <w:sz w:val="24"/>
          <w:szCs w:val="24"/>
        </w:rPr>
        <w:t xml:space="preserve">the court (then called the United States Claims Court) awarded a photographer $1500 when a federal government agency’s use of his photographs exceeded the scope of the </w:t>
      </w:r>
      <w:proofErr w:type="gramStart"/>
      <w:r w:rsidR="00151849" w:rsidRPr="00E50124">
        <w:rPr>
          <w:rFonts w:ascii="Californian FB" w:hAnsi="Californian FB" w:cs="BerkeleyStd-Book"/>
          <w:sz w:val="24"/>
          <w:szCs w:val="24"/>
        </w:rPr>
        <w:t>license</w:t>
      </w:r>
      <w:proofErr w:type="gramEnd"/>
      <w:r w:rsidR="00151849" w:rsidRPr="00E50124">
        <w:rPr>
          <w:rFonts w:ascii="Californian FB" w:hAnsi="Californian FB" w:cs="BerkeleyStd-Book"/>
          <w:sz w:val="24"/>
          <w:szCs w:val="24"/>
        </w:rPr>
        <w:t xml:space="preserve"> he had granted it. Section 1498(b) also allows statutory damages, but only “the minimum statutory damages set forth in [17 U.S.C.] section 504(c),” which suggests that awards can be made only at the bottom of the statutory range.</w:t>
      </w:r>
      <w:r w:rsidR="00B45263" w:rsidRPr="00E50124">
        <w:rPr>
          <w:rFonts w:ascii="Californian FB" w:hAnsi="Californian FB" w:cs="BerkeleyStd-Book"/>
          <w:sz w:val="24"/>
          <w:szCs w:val="24"/>
        </w:rPr>
        <w:t xml:space="preserve"> </w:t>
      </w:r>
      <w:r w:rsidR="00151849" w:rsidRPr="00E50124">
        <w:rPr>
          <w:rFonts w:ascii="Californian FB" w:hAnsi="Californian FB" w:cs="BerkeleyStd-Book"/>
          <w:sz w:val="24"/>
          <w:szCs w:val="24"/>
        </w:rPr>
        <w:t xml:space="preserve">Given the absence of an injunctive remedy against the federal government, the combined effect of the copyright statute and § 1498 is effectively </w:t>
      </w:r>
      <w:r w:rsidR="00B45263" w:rsidRPr="00E50124">
        <w:rPr>
          <w:rFonts w:ascii="Californian FB" w:hAnsi="Californian FB" w:cs="BerkeleyStd-Book"/>
          <w:sz w:val="24"/>
          <w:szCs w:val="24"/>
        </w:rPr>
        <w:t xml:space="preserve">to </w:t>
      </w:r>
      <w:r w:rsidR="00151849" w:rsidRPr="00E50124">
        <w:rPr>
          <w:rFonts w:ascii="Californian FB" w:hAnsi="Californian FB" w:cs="BerkeleyStd-Book"/>
          <w:sz w:val="24"/>
          <w:szCs w:val="24"/>
        </w:rPr>
        <w:t>create a compulsory license in favor of the federal government,</w:t>
      </w:r>
      <w:r w:rsidR="00B45263" w:rsidRPr="00E50124">
        <w:rPr>
          <w:rFonts w:ascii="Californian FB" w:hAnsi="Californian FB" w:cs="BerkeleyStd-Book"/>
          <w:sz w:val="24"/>
          <w:szCs w:val="24"/>
        </w:rPr>
        <w:t xml:space="preserve"> </w:t>
      </w:r>
      <w:r w:rsidR="00151849" w:rsidRPr="00E50124">
        <w:rPr>
          <w:rFonts w:ascii="Californian FB" w:hAnsi="Californian FB" w:cs="BerkeleyStd-Book"/>
          <w:sz w:val="24"/>
          <w:szCs w:val="24"/>
        </w:rPr>
        <w:t xml:space="preserve">allowing it to use materials </w:t>
      </w:r>
      <w:r w:rsidR="00B45263" w:rsidRPr="00E50124">
        <w:rPr>
          <w:rFonts w:ascii="Californian FB" w:hAnsi="Californian FB" w:cs="BerkeleyStd-Book"/>
          <w:sz w:val="24"/>
          <w:szCs w:val="24"/>
        </w:rPr>
        <w:t xml:space="preserve">under copyright </w:t>
      </w:r>
      <w:r w:rsidR="00151849" w:rsidRPr="00E50124">
        <w:rPr>
          <w:rFonts w:ascii="Californian FB" w:hAnsi="Californian FB" w:cs="BerkeleyStd-Book"/>
          <w:sz w:val="24"/>
          <w:szCs w:val="24"/>
        </w:rPr>
        <w:t>with</w:t>
      </w:r>
      <w:r w:rsidR="00B45263" w:rsidRPr="00E50124">
        <w:rPr>
          <w:rFonts w:ascii="Californian FB" w:hAnsi="Californian FB" w:cs="BerkeleyStd-Book"/>
          <w:sz w:val="24"/>
          <w:szCs w:val="24"/>
        </w:rPr>
        <w:t>out</w:t>
      </w:r>
      <w:r w:rsidR="00151849" w:rsidRPr="00E50124">
        <w:rPr>
          <w:rFonts w:ascii="Californian FB" w:hAnsi="Californian FB" w:cs="BerkeleyStd-Book"/>
          <w:sz w:val="24"/>
          <w:szCs w:val="24"/>
        </w:rPr>
        <w:t xml:space="preserve"> securing permission, but subject to judicially determined “compensation.” </w:t>
      </w:r>
    </w:p>
    <w:p w14:paraId="4E74A0E4" w14:textId="6B4D2EC8" w:rsidR="003B2CB4" w:rsidRPr="00E50124" w:rsidRDefault="003B2CB4" w:rsidP="00E50124">
      <w:pPr>
        <w:autoSpaceDE w:val="0"/>
        <w:autoSpaceDN w:val="0"/>
        <w:adjustRightInd w:val="0"/>
        <w:spacing w:after="0" w:line="240" w:lineRule="auto"/>
        <w:jc w:val="both"/>
        <w:rPr>
          <w:rFonts w:ascii="Californian FB" w:hAnsi="Californian FB" w:cs="BerkeleyStd-Book"/>
          <w:sz w:val="24"/>
          <w:szCs w:val="24"/>
        </w:rPr>
      </w:pPr>
    </w:p>
    <w:p w14:paraId="0B089456" w14:textId="632F6D73" w:rsidR="003B2CB4" w:rsidRDefault="003B2CB4" w:rsidP="003B2CB4">
      <w:pPr>
        <w:autoSpaceDE w:val="0"/>
        <w:autoSpaceDN w:val="0"/>
        <w:adjustRightInd w:val="0"/>
        <w:spacing w:after="0" w:line="240" w:lineRule="auto"/>
        <w:rPr>
          <w:rFonts w:ascii="Californian FB" w:hAnsi="Californian FB" w:cs="BerkeleyStd-Book"/>
          <w:sz w:val="24"/>
          <w:szCs w:val="24"/>
        </w:rPr>
      </w:pPr>
    </w:p>
    <w:p w14:paraId="2D86B630" w14:textId="77777777" w:rsidR="003B2CB4" w:rsidRPr="003B2CB4" w:rsidRDefault="003B2CB4" w:rsidP="003B2CB4">
      <w:pPr>
        <w:autoSpaceDE w:val="0"/>
        <w:autoSpaceDN w:val="0"/>
        <w:adjustRightInd w:val="0"/>
        <w:spacing w:after="0" w:line="240" w:lineRule="auto"/>
        <w:rPr>
          <w:rFonts w:ascii="Californian FB" w:eastAsia="Times New Roman" w:hAnsi="Californian FB" w:cstheme="minorHAnsi"/>
          <w:bCs/>
          <w:sz w:val="24"/>
          <w:szCs w:val="24"/>
        </w:rPr>
      </w:pPr>
    </w:p>
    <w:p w14:paraId="36BF2452" w14:textId="3093AF23" w:rsidR="00483E23" w:rsidRDefault="00483E23" w:rsidP="00ED6BE0">
      <w:pPr>
        <w:shd w:val="clear" w:color="auto" w:fill="FFFFFF"/>
        <w:rPr>
          <w:rFonts w:ascii="Californian FB" w:eastAsia="Times New Roman" w:hAnsi="Californian FB" w:cstheme="minorHAnsi"/>
          <w:b/>
          <w:i/>
          <w:sz w:val="28"/>
          <w:szCs w:val="28"/>
        </w:rPr>
      </w:pPr>
      <w:r>
        <w:rPr>
          <w:rFonts w:ascii="Californian FB" w:eastAsia="Times New Roman" w:hAnsi="Californian FB" w:cstheme="minorHAnsi"/>
          <w:b/>
          <w:sz w:val="28"/>
          <w:szCs w:val="28"/>
        </w:rPr>
        <w:t xml:space="preserve">Chapter 14: </w:t>
      </w:r>
      <w:r w:rsidRPr="004637B6">
        <w:rPr>
          <w:rFonts w:ascii="Californian FB" w:eastAsia="Times New Roman" w:hAnsi="Californian FB" w:cstheme="minorHAnsi"/>
          <w:b/>
          <w:i/>
          <w:sz w:val="28"/>
          <w:szCs w:val="28"/>
        </w:rPr>
        <w:t>Invoking Judicial Power: Jurisdiction, Venue, Standing, Limitations, Preemption, Choice of Law and Related Issues</w:t>
      </w:r>
    </w:p>
    <w:p w14:paraId="2CB2ADE1" w14:textId="51BBABA7" w:rsidR="00224761" w:rsidRDefault="00224761" w:rsidP="00ED6BE0">
      <w:pPr>
        <w:shd w:val="clear" w:color="auto" w:fill="FFFFFF"/>
        <w:rPr>
          <w:rFonts w:ascii="Californian FB" w:eastAsia="Times New Roman" w:hAnsi="Californian FB" w:cstheme="minorHAnsi"/>
          <w:b/>
          <w:iCs/>
          <w:sz w:val="28"/>
          <w:szCs w:val="28"/>
        </w:rPr>
      </w:pPr>
      <w:r>
        <w:rPr>
          <w:rFonts w:ascii="Californian FB" w:eastAsia="Times New Roman" w:hAnsi="Californian FB" w:cstheme="minorHAnsi"/>
          <w:b/>
          <w:iCs/>
          <w:sz w:val="28"/>
          <w:szCs w:val="28"/>
        </w:rPr>
        <w:t>C. Attorney’s Fees</w:t>
      </w:r>
    </w:p>
    <w:p w14:paraId="361DE079" w14:textId="0B1CA0CD" w:rsidR="00224761" w:rsidRPr="00224761" w:rsidRDefault="00224761" w:rsidP="00224761">
      <w:pPr>
        <w:rPr>
          <w:rFonts w:ascii="Californian FB" w:hAnsi="Californian FB"/>
          <w:sz w:val="28"/>
          <w:szCs w:val="28"/>
        </w:rPr>
      </w:pPr>
      <w:r w:rsidRPr="00224761">
        <w:rPr>
          <w:rFonts w:ascii="Californian FB" w:hAnsi="Californian FB"/>
          <w:sz w:val="28"/>
          <w:szCs w:val="28"/>
        </w:rPr>
        <w:t>Page 1027 – Change the section title to read as follows</w:t>
      </w:r>
      <w:r>
        <w:rPr>
          <w:rFonts w:ascii="Californian FB" w:hAnsi="Californian FB"/>
          <w:sz w:val="28"/>
          <w:szCs w:val="28"/>
        </w:rPr>
        <w:t>:</w:t>
      </w:r>
    </w:p>
    <w:p w14:paraId="3A24970D" w14:textId="2FBC5CF6" w:rsidR="00224761" w:rsidRDefault="00224761" w:rsidP="00224761">
      <w:pPr>
        <w:rPr>
          <w:rFonts w:ascii="Californian FB" w:hAnsi="Californian FB"/>
          <w:b/>
          <w:sz w:val="28"/>
          <w:szCs w:val="28"/>
        </w:rPr>
      </w:pPr>
      <w:r w:rsidRPr="00224761">
        <w:rPr>
          <w:rFonts w:ascii="Californian FB" w:hAnsi="Californian FB"/>
          <w:b/>
          <w:sz w:val="28"/>
          <w:szCs w:val="28"/>
        </w:rPr>
        <w:t>C.  Costs and Attorney’s Fees</w:t>
      </w:r>
    </w:p>
    <w:p w14:paraId="5C35DD3D" w14:textId="2ADF61F2" w:rsidR="00224761" w:rsidRPr="00224761" w:rsidRDefault="00224761" w:rsidP="00224761">
      <w:pPr>
        <w:rPr>
          <w:rFonts w:ascii="Californian FB" w:hAnsi="Californian FB"/>
          <w:sz w:val="28"/>
          <w:szCs w:val="28"/>
        </w:rPr>
      </w:pPr>
      <w:r w:rsidRPr="00224761">
        <w:rPr>
          <w:rFonts w:ascii="Californian FB" w:hAnsi="Californian FB"/>
          <w:sz w:val="28"/>
          <w:szCs w:val="28"/>
        </w:rPr>
        <w:t>Page 1054 – Add the following new note after Note 6 at the bottom of the page</w:t>
      </w:r>
      <w:r>
        <w:rPr>
          <w:rFonts w:ascii="Californian FB" w:hAnsi="Californian FB"/>
          <w:sz w:val="28"/>
          <w:szCs w:val="28"/>
        </w:rPr>
        <w:t>:</w:t>
      </w:r>
    </w:p>
    <w:p w14:paraId="47EEA619" w14:textId="3C3B698C" w:rsidR="00224761" w:rsidRPr="00224761" w:rsidRDefault="00224761" w:rsidP="00836A19">
      <w:pPr>
        <w:ind w:left="270" w:hanging="270"/>
        <w:jc w:val="both"/>
        <w:rPr>
          <w:rFonts w:ascii="Californian FB" w:hAnsi="Californian FB" w:cs="Times New Roman"/>
          <w:color w:val="000000"/>
          <w:sz w:val="24"/>
          <w:szCs w:val="24"/>
        </w:rPr>
      </w:pPr>
      <w:r w:rsidRPr="00224761">
        <w:rPr>
          <w:rFonts w:ascii="Californian FB" w:hAnsi="Californian FB"/>
          <w:b/>
          <w:sz w:val="24"/>
          <w:szCs w:val="24"/>
        </w:rPr>
        <w:t xml:space="preserve">7.  Other Costs.  </w:t>
      </w:r>
      <w:r w:rsidRPr="00224761">
        <w:rPr>
          <w:rFonts w:ascii="Californian FB" w:hAnsi="Californian FB"/>
          <w:sz w:val="24"/>
          <w:szCs w:val="24"/>
        </w:rPr>
        <w:t>While attorney’s fees are usually the largest litigation expense, there are many other costs associated with carrying on a copyright</w:t>
      </w:r>
      <w:r w:rsidR="00FD624F">
        <w:rPr>
          <w:rFonts w:ascii="Californian FB" w:hAnsi="Californian FB"/>
          <w:sz w:val="24"/>
          <w:szCs w:val="24"/>
        </w:rPr>
        <w:t xml:space="preserve"> case</w:t>
      </w:r>
      <w:r w:rsidRPr="00224761">
        <w:rPr>
          <w:rFonts w:ascii="Californian FB" w:hAnsi="Californian FB"/>
          <w:sz w:val="24"/>
          <w:szCs w:val="24"/>
        </w:rPr>
        <w:t xml:space="preserve"> (or any other type of case</w:t>
      </w:r>
      <w:r w:rsidR="00FD624F">
        <w:rPr>
          <w:rFonts w:ascii="Californian FB" w:hAnsi="Californian FB"/>
          <w:sz w:val="24"/>
          <w:szCs w:val="24"/>
        </w:rPr>
        <w:t>)</w:t>
      </w:r>
      <w:r w:rsidRPr="00224761">
        <w:rPr>
          <w:rFonts w:ascii="Californian FB" w:hAnsi="Californian FB"/>
          <w:sz w:val="24"/>
          <w:szCs w:val="24"/>
        </w:rPr>
        <w:t>.  There are filing fees that must be paid to the clerk of the court</w:t>
      </w:r>
      <w:r w:rsidR="00FD624F">
        <w:rPr>
          <w:rFonts w:ascii="Californian FB" w:hAnsi="Californian FB"/>
          <w:sz w:val="24"/>
          <w:szCs w:val="24"/>
        </w:rPr>
        <w:t>;</w:t>
      </w:r>
      <w:r w:rsidRPr="00224761">
        <w:rPr>
          <w:rFonts w:ascii="Californian FB" w:hAnsi="Californian FB"/>
          <w:sz w:val="24"/>
          <w:szCs w:val="24"/>
        </w:rPr>
        <w:t xml:space="preserve"> fees that must be paid to marshals for serving process</w:t>
      </w:r>
      <w:r w:rsidR="00FD624F">
        <w:rPr>
          <w:rFonts w:ascii="Californian FB" w:hAnsi="Californian FB"/>
          <w:sz w:val="24"/>
          <w:szCs w:val="24"/>
        </w:rPr>
        <w:t>;</w:t>
      </w:r>
      <w:r w:rsidRPr="00224761">
        <w:rPr>
          <w:rFonts w:ascii="Californian FB" w:hAnsi="Californian FB"/>
          <w:sz w:val="24"/>
          <w:szCs w:val="24"/>
        </w:rPr>
        <w:t xml:space="preserve"> charges for the printing of transcripts</w:t>
      </w:r>
      <w:r w:rsidR="00FD624F">
        <w:rPr>
          <w:rFonts w:ascii="Californian FB" w:hAnsi="Californian FB"/>
          <w:sz w:val="24"/>
          <w:szCs w:val="24"/>
        </w:rPr>
        <w:t>;</w:t>
      </w:r>
      <w:r w:rsidRPr="00224761">
        <w:rPr>
          <w:rFonts w:ascii="Californian FB" w:hAnsi="Californian FB"/>
          <w:sz w:val="24"/>
          <w:szCs w:val="24"/>
        </w:rPr>
        <w:t xml:space="preserve"> fees for interpreters where necessary</w:t>
      </w:r>
      <w:r w:rsidR="00FD624F">
        <w:rPr>
          <w:rFonts w:ascii="Californian FB" w:hAnsi="Californian FB"/>
          <w:sz w:val="24"/>
          <w:szCs w:val="24"/>
        </w:rPr>
        <w:t>;</w:t>
      </w:r>
      <w:r w:rsidRPr="00224761">
        <w:rPr>
          <w:rFonts w:ascii="Californian FB" w:hAnsi="Californian FB"/>
          <w:sz w:val="24"/>
          <w:szCs w:val="24"/>
        </w:rPr>
        <w:t xml:space="preserve"> duplication costs for documents</w:t>
      </w:r>
      <w:r w:rsidR="00FD624F">
        <w:rPr>
          <w:rFonts w:ascii="Californian FB" w:hAnsi="Californian FB"/>
          <w:sz w:val="24"/>
          <w:szCs w:val="24"/>
        </w:rPr>
        <w:t>;</w:t>
      </w:r>
      <w:r w:rsidRPr="00224761">
        <w:rPr>
          <w:rFonts w:ascii="Californian FB" w:hAnsi="Californian FB"/>
          <w:sz w:val="24"/>
          <w:szCs w:val="24"/>
        </w:rPr>
        <w:t xml:space="preserve"> and payments to expert witnesses, </w:t>
      </w:r>
      <w:r w:rsidR="00FD624F">
        <w:rPr>
          <w:rFonts w:ascii="Californian FB" w:hAnsi="Californian FB"/>
          <w:sz w:val="24"/>
          <w:szCs w:val="24"/>
        </w:rPr>
        <w:t xml:space="preserve">including </w:t>
      </w:r>
      <w:r w:rsidRPr="00224761">
        <w:rPr>
          <w:rFonts w:ascii="Californian FB" w:hAnsi="Californian FB"/>
          <w:sz w:val="24"/>
          <w:szCs w:val="24"/>
        </w:rPr>
        <w:t xml:space="preserve">both those appointed by the court and those voluntarily retained by the parties.  Section 505 of the copyright statute provides that “the court in its discretion may allow the recovery of full costs by or against any party.”  In </w:t>
      </w:r>
      <w:r w:rsidRPr="00224761">
        <w:rPr>
          <w:rFonts w:ascii="Californian FB" w:hAnsi="Californian FB"/>
          <w:i/>
          <w:sz w:val="24"/>
          <w:szCs w:val="24"/>
        </w:rPr>
        <w:t xml:space="preserve">Rimini Street, Inc. v. Oracle USA, Inc., </w:t>
      </w:r>
      <w:r w:rsidRPr="00224761">
        <w:rPr>
          <w:rFonts w:ascii="Californian FB" w:hAnsi="Californian FB"/>
          <w:sz w:val="24"/>
          <w:szCs w:val="24"/>
        </w:rPr>
        <w:t>139 S. Ct. 873 (2019)</w:t>
      </w:r>
      <w:r w:rsidR="00FD624F">
        <w:rPr>
          <w:rFonts w:ascii="Californian FB" w:hAnsi="Californian FB"/>
          <w:sz w:val="24"/>
          <w:szCs w:val="24"/>
        </w:rPr>
        <w:t>,</w:t>
      </w:r>
      <w:r w:rsidRPr="00224761">
        <w:rPr>
          <w:rFonts w:ascii="Californian FB" w:hAnsi="Californian FB"/>
          <w:sz w:val="24"/>
          <w:szCs w:val="24"/>
        </w:rPr>
        <w:t xml:space="preserve"> the </w:t>
      </w:r>
      <w:r w:rsidR="00FD624F">
        <w:rPr>
          <w:rFonts w:ascii="Californian FB" w:hAnsi="Californian FB"/>
          <w:sz w:val="24"/>
          <w:szCs w:val="24"/>
        </w:rPr>
        <w:t>Supreme C</w:t>
      </w:r>
      <w:r w:rsidRPr="00224761">
        <w:rPr>
          <w:rFonts w:ascii="Californian FB" w:hAnsi="Californian FB"/>
          <w:sz w:val="24"/>
          <w:szCs w:val="24"/>
        </w:rPr>
        <w:t xml:space="preserve">ourt considered whether the reference to “full costs” in the copyright statute was limited to recovery of only those items listed in the general federal costs recovery statute codified at </w:t>
      </w:r>
      <w:hyperlink r:id="rId301" w:history="1">
        <w:r w:rsidRPr="00224761">
          <w:rPr>
            <w:rFonts w:ascii="Californian FB" w:hAnsi="Californian FB" w:cs="Times New Roman"/>
            <w:color w:val="000000"/>
            <w:sz w:val="24"/>
            <w:szCs w:val="24"/>
          </w:rPr>
          <w:t>28 U.S.C. §§ 1821</w:t>
        </w:r>
      </w:hyperlink>
      <w:r w:rsidRPr="00224761">
        <w:rPr>
          <w:rFonts w:ascii="Californian FB" w:hAnsi="Californian FB" w:cs="Times New Roman"/>
          <w:color w:val="000000"/>
          <w:sz w:val="24"/>
          <w:szCs w:val="24"/>
        </w:rPr>
        <w:t xml:space="preserve">, </w:t>
      </w:r>
      <w:hyperlink r:id="rId302" w:history="1">
        <w:r w:rsidRPr="00224761">
          <w:rPr>
            <w:rFonts w:ascii="Californian FB" w:hAnsi="Californian FB" w:cs="Times New Roman"/>
            <w:color w:val="000000"/>
            <w:sz w:val="24"/>
            <w:szCs w:val="24"/>
          </w:rPr>
          <w:t>1920</w:t>
        </w:r>
      </w:hyperlink>
      <w:r w:rsidRPr="00224761">
        <w:rPr>
          <w:rFonts w:ascii="Californian FB" w:hAnsi="Californian FB" w:cs="Times New Roman"/>
          <w:color w:val="000000"/>
          <w:sz w:val="24"/>
          <w:szCs w:val="24"/>
        </w:rPr>
        <w:t>.  In that case Oracle had won a substantial verdict against Rimini for copyright infringement.  The district court also ordered Rimini to pay over $28 million in attorney’s fees, about $3.5 million in traditional costs</w:t>
      </w:r>
      <w:r w:rsidR="00E460A7">
        <w:rPr>
          <w:rFonts w:ascii="Californian FB" w:hAnsi="Californian FB" w:cs="Times New Roman"/>
          <w:color w:val="000000"/>
          <w:sz w:val="24"/>
          <w:szCs w:val="24"/>
        </w:rPr>
        <w:t xml:space="preserve">, </w:t>
      </w:r>
      <w:r w:rsidRPr="00224761">
        <w:rPr>
          <w:rFonts w:ascii="Californian FB" w:hAnsi="Californian FB" w:cs="Times New Roman"/>
          <w:color w:val="000000"/>
          <w:sz w:val="24"/>
          <w:szCs w:val="24"/>
        </w:rPr>
        <w:t xml:space="preserve">and an additional $12.8 </w:t>
      </w:r>
      <w:r w:rsidR="00E460A7">
        <w:rPr>
          <w:rFonts w:ascii="Californian FB" w:hAnsi="Californian FB" w:cs="Times New Roman"/>
          <w:color w:val="000000"/>
          <w:sz w:val="24"/>
          <w:szCs w:val="24"/>
        </w:rPr>
        <w:t xml:space="preserve">million </w:t>
      </w:r>
      <w:r w:rsidRPr="00224761">
        <w:rPr>
          <w:rFonts w:ascii="Californian FB" w:hAnsi="Californian FB" w:cs="Times New Roman"/>
          <w:color w:val="000000"/>
          <w:sz w:val="24"/>
          <w:szCs w:val="24"/>
        </w:rPr>
        <w:t>for other litigation expenses such as expert witness fees, jury consultant fees and amounts spen</w:t>
      </w:r>
      <w:r w:rsidR="00E460A7">
        <w:rPr>
          <w:rFonts w:ascii="Californian FB" w:hAnsi="Californian FB" w:cs="Times New Roman"/>
          <w:color w:val="000000"/>
          <w:sz w:val="24"/>
          <w:szCs w:val="24"/>
        </w:rPr>
        <w:t>t</w:t>
      </w:r>
      <w:r w:rsidRPr="00224761">
        <w:rPr>
          <w:rFonts w:ascii="Californian FB" w:hAnsi="Californian FB" w:cs="Times New Roman"/>
          <w:color w:val="000000"/>
          <w:sz w:val="24"/>
          <w:szCs w:val="24"/>
        </w:rPr>
        <w:t xml:space="preserve"> on e-discovery.  These latter items are not included in the general cost-recovery statute, and so Rimini challenged that portion of the award.  </w:t>
      </w:r>
      <w:r w:rsidR="00E460A7">
        <w:rPr>
          <w:rFonts w:ascii="Californian FB" w:hAnsi="Californian FB" w:cs="Times New Roman"/>
          <w:color w:val="000000"/>
          <w:sz w:val="24"/>
          <w:szCs w:val="24"/>
        </w:rPr>
        <w:t>W</w:t>
      </w:r>
      <w:r w:rsidR="00E460A7" w:rsidRPr="00224761">
        <w:rPr>
          <w:rFonts w:ascii="Californian FB" w:hAnsi="Californian FB" w:cs="Times New Roman"/>
          <w:color w:val="000000"/>
          <w:sz w:val="24"/>
          <w:szCs w:val="24"/>
        </w:rPr>
        <w:t>riting for a unanimous Court</w:t>
      </w:r>
      <w:r w:rsidR="00E460A7">
        <w:rPr>
          <w:rFonts w:ascii="Californian FB" w:hAnsi="Californian FB" w:cs="Times New Roman"/>
          <w:color w:val="000000"/>
          <w:sz w:val="24"/>
          <w:szCs w:val="24"/>
        </w:rPr>
        <w:t>,</w:t>
      </w:r>
      <w:r w:rsidR="00E460A7" w:rsidRPr="00224761">
        <w:rPr>
          <w:rFonts w:ascii="Californian FB" w:hAnsi="Californian FB" w:cs="Times New Roman"/>
          <w:color w:val="000000"/>
          <w:sz w:val="24"/>
          <w:szCs w:val="24"/>
        </w:rPr>
        <w:t xml:space="preserve"> </w:t>
      </w:r>
      <w:r w:rsidRPr="00224761">
        <w:rPr>
          <w:rFonts w:ascii="Californian FB" w:hAnsi="Californian FB" w:cs="Times New Roman"/>
          <w:color w:val="000000"/>
          <w:sz w:val="24"/>
          <w:szCs w:val="24"/>
        </w:rPr>
        <w:t>Justice Kavanaugh</w:t>
      </w:r>
      <w:r w:rsidR="00E460A7">
        <w:rPr>
          <w:rFonts w:ascii="Californian FB" w:hAnsi="Californian FB" w:cs="Times New Roman"/>
          <w:color w:val="000000"/>
          <w:sz w:val="24"/>
          <w:szCs w:val="24"/>
        </w:rPr>
        <w:t xml:space="preserve"> </w:t>
      </w:r>
      <w:r w:rsidRPr="00224761">
        <w:rPr>
          <w:rFonts w:ascii="Californian FB" w:hAnsi="Californian FB" w:cs="Times New Roman"/>
          <w:color w:val="000000"/>
          <w:sz w:val="24"/>
          <w:szCs w:val="24"/>
        </w:rPr>
        <w:t xml:space="preserve">held that absent specific statutory language to the contrary, a reference to “costs” </w:t>
      </w:r>
      <w:r w:rsidRPr="00224761">
        <w:rPr>
          <w:rFonts w:ascii="Californian FB" w:hAnsi="Californian FB" w:cs="Times New Roman"/>
          <w:color w:val="000000"/>
          <w:sz w:val="24"/>
          <w:szCs w:val="24"/>
        </w:rPr>
        <w:lastRenderedPageBreak/>
        <w:t>is limited to only those costs itemized in the general cost-recovery statute.  Offering up a linguistics seminar</w:t>
      </w:r>
      <w:r>
        <w:rPr>
          <w:rFonts w:ascii="Californian FB" w:hAnsi="Californian FB" w:cs="Times New Roman"/>
          <w:color w:val="000000"/>
          <w:sz w:val="24"/>
          <w:szCs w:val="24"/>
        </w:rPr>
        <w:t>,</w:t>
      </w:r>
      <w:r w:rsidRPr="00224761">
        <w:rPr>
          <w:rFonts w:ascii="Californian FB" w:hAnsi="Californian FB" w:cs="Times New Roman"/>
          <w:color w:val="000000"/>
          <w:sz w:val="24"/>
          <w:szCs w:val="24"/>
        </w:rPr>
        <w:t xml:space="preserve"> he noted:</w:t>
      </w:r>
    </w:p>
    <w:p w14:paraId="69BBD42A" w14:textId="4E4CE10C" w:rsidR="00224761" w:rsidRPr="00224761" w:rsidRDefault="00224761" w:rsidP="00836A19">
      <w:pPr>
        <w:widowControl w:val="0"/>
        <w:autoSpaceDE w:val="0"/>
        <w:autoSpaceDN w:val="0"/>
        <w:adjustRightInd w:val="0"/>
        <w:ind w:left="540" w:right="360"/>
        <w:jc w:val="both"/>
        <w:rPr>
          <w:rFonts w:ascii="Californian FB" w:hAnsi="Californian FB" w:cs="Times New Roman"/>
          <w:color w:val="000000"/>
          <w:sz w:val="24"/>
          <w:szCs w:val="24"/>
        </w:rPr>
      </w:pPr>
      <w:r w:rsidRPr="00224761">
        <w:rPr>
          <w:rFonts w:ascii="Californian FB" w:hAnsi="Californian FB" w:cs="Times New Roman"/>
          <w:color w:val="000000"/>
          <w:sz w:val="24"/>
          <w:szCs w:val="24"/>
        </w:rPr>
        <w:t xml:space="preserve">The adjective “full” in </w:t>
      </w:r>
      <w:hyperlink r:id="rId303" w:history="1">
        <w:r w:rsidRPr="00224761">
          <w:rPr>
            <w:rFonts w:ascii="Californian FB" w:hAnsi="Californian FB" w:cs="Times New Roman"/>
            <w:color w:val="000000"/>
            <w:sz w:val="24"/>
            <w:szCs w:val="24"/>
          </w:rPr>
          <w:t>§ 505</w:t>
        </w:r>
      </w:hyperlink>
      <w:r w:rsidRPr="00224761">
        <w:rPr>
          <w:rFonts w:ascii="Californian FB" w:hAnsi="Californian FB" w:cs="Times New Roman"/>
          <w:color w:val="000000"/>
          <w:sz w:val="24"/>
          <w:szCs w:val="24"/>
        </w:rPr>
        <w:t xml:space="preserve"> . . . does not alter the meaning of the word</w:t>
      </w:r>
      <w:bookmarkStart w:id="182" w:name="co_pp_sp_708_879_1"/>
      <w:bookmarkEnd w:id="182"/>
      <w:r w:rsidRPr="00224761">
        <w:rPr>
          <w:rFonts w:ascii="Californian FB" w:hAnsi="Californian FB" w:cs="Times New Roman"/>
          <w:color w:val="000000"/>
          <w:sz w:val="24"/>
          <w:szCs w:val="24"/>
        </w:rPr>
        <w:t xml:space="preserve"> “costs.” Rather, “full costs” are all the “costs” otherwise available under law. The word “full” operates in the phrase “full costs” just as it operates in other common phrases: A “full moon” means the moon, not Mars. A “full breakfast” means breakfast, not lunch. A “full season ticket plan” means tickets, not hot dogs. So too, the term “full costs” means </w:t>
      </w:r>
      <w:r w:rsidRPr="00224761">
        <w:rPr>
          <w:rFonts w:ascii="Californian FB" w:hAnsi="Californian FB" w:cs="Times New Roman"/>
          <w:i/>
          <w:iCs/>
          <w:color w:val="000000"/>
          <w:sz w:val="24"/>
          <w:szCs w:val="24"/>
        </w:rPr>
        <w:t>costs</w:t>
      </w:r>
      <w:r w:rsidRPr="00224761">
        <w:rPr>
          <w:rFonts w:ascii="Californian FB" w:hAnsi="Californian FB" w:cs="Times New Roman"/>
          <w:color w:val="000000"/>
          <w:sz w:val="24"/>
          <w:szCs w:val="24"/>
        </w:rPr>
        <w:t>, not other expenses.</w:t>
      </w:r>
    </w:p>
    <w:p w14:paraId="29A4FA86" w14:textId="318EC2E2" w:rsidR="00224761" w:rsidRPr="00224761" w:rsidRDefault="00836A19" w:rsidP="00836A19">
      <w:pPr>
        <w:widowControl w:val="0"/>
        <w:autoSpaceDE w:val="0"/>
        <w:autoSpaceDN w:val="0"/>
        <w:adjustRightInd w:val="0"/>
        <w:ind w:left="270" w:hanging="270"/>
        <w:jc w:val="both"/>
        <w:rPr>
          <w:rFonts w:ascii="Californian FB" w:hAnsi="Californian FB" w:cs="Times New Roman"/>
          <w:color w:val="000000"/>
          <w:sz w:val="24"/>
          <w:szCs w:val="24"/>
        </w:rPr>
      </w:pPr>
      <w:r>
        <w:rPr>
          <w:rFonts w:ascii="Californian FB" w:hAnsi="Californian FB" w:cs="Times New Roman"/>
          <w:color w:val="000000"/>
          <w:sz w:val="24"/>
          <w:szCs w:val="24"/>
        </w:rPr>
        <w:t xml:space="preserve">      </w:t>
      </w:r>
      <w:r w:rsidR="00224761" w:rsidRPr="00224761">
        <w:rPr>
          <w:rFonts w:ascii="Californian FB" w:hAnsi="Californian FB" w:cs="Times New Roman"/>
          <w:color w:val="000000"/>
          <w:sz w:val="24"/>
          <w:szCs w:val="24"/>
        </w:rPr>
        <w:t xml:space="preserve">Do you think Congress should amend the cost-recovery statute to provide prevailing parties with recovery of the kinds of expenses at issue in </w:t>
      </w:r>
      <w:r w:rsidR="00224761" w:rsidRPr="00224761">
        <w:rPr>
          <w:rFonts w:ascii="Californian FB" w:hAnsi="Californian FB" w:cs="Times New Roman"/>
          <w:i/>
          <w:color w:val="000000"/>
          <w:sz w:val="24"/>
          <w:szCs w:val="24"/>
        </w:rPr>
        <w:t>Rimini Street</w:t>
      </w:r>
      <w:r w:rsidR="00224761" w:rsidRPr="00224761">
        <w:rPr>
          <w:rFonts w:ascii="Californian FB" w:hAnsi="Californian FB" w:cs="Times New Roman"/>
          <w:color w:val="000000"/>
          <w:sz w:val="24"/>
          <w:szCs w:val="24"/>
        </w:rPr>
        <w:t xml:space="preserve">?  Imagine the situation of a defendant who prevails after being unreasonably accused of copyright infringement.  If the case were as complex as the one in </w:t>
      </w:r>
      <w:r w:rsidR="00224761" w:rsidRPr="00224761">
        <w:rPr>
          <w:rFonts w:ascii="Californian FB" w:hAnsi="Californian FB" w:cs="Times New Roman"/>
          <w:i/>
          <w:color w:val="000000"/>
          <w:sz w:val="24"/>
          <w:szCs w:val="24"/>
        </w:rPr>
        <w:t xml:space="preserve">Rimini </w:t>
      </w:r>
      <w:r w:rsidR="00224761" w:rsidRPr="00E460A7">
        <w:rPr>
          <w:rFonts w:ascii="Californian FB" w:hAnsi="Californian FB" w:cs="Times New Roman"/>
          <w:i/>
          <w:color w:val="000000"/>
          <w:sz w:val="24"/>
          <w:szCs w:val="24"/>
        </w:rPr>
        <w:t>Street</w:t>
      </w:r>
      <w:r w:rsidR="00E460A7">
        <w:rPr>
          <w:rFonts w:ascii="Californian FB" w:hAnsi="Californian FB" w:cs="Times New Roman"/>
          <w:iCs/>
          <w:color w:val="000000"/>
          <w:sz w:val="24"/>
          <w:szCs w:val="24"/>
        </w:rPr>
        <w:t>,</w:t>
      </w:r>
      <w:r w:rsidR="00224761" w:rsidRPr="00224761">
        <w:rPr>
          <w:rFonts w:ascii="Californian FB" w:hAnsi="Californian FB" w:cs="Times New Roman"/>
          <w:color w:val="000000"/>
          <w:sz w:val="24"/>
          <w:szCs w:val="24"/>
        </w:rPr>
        <w:t xml:space="preserve"> that defendant would have to absorb almost $13 million dollars in expenses out of pocket to defend itself.  That certainly could impose considerable pressure to settle.  On the other hand, a successful plaintiff is effectively undercompensated if much of its damage or profits recovery must be used to cover litigation expenses.  Finally (on the third hand), would allowing recovery of these kinds of expense encourage both sides to engage in extravagant spending during the lawsuit, in the expectation that it could shift the costs to the other party, and if so, would that be a good thing?</w:t>
      </w:r>
    </w:p>
    <w:p w14:paraId="5C998FBB" w14:textId="6622322E" w:rsidR="00483E23" w:rsidRDefault="00483E23" w:rsidP="00ED6BE0">
      <w:pPr>
        <w:shd w:val="clear" w:color="auto" w:fill="FFFFFF"/>
        <w:rPr>
          <w:rFonts w:ascii="Californian FB" w:eastAsia="Times New Roman" w:hAnsi="Californian FB" w:cstheme="minorHAnsi"/>
          <w:b/>
          <w:sz w:val="28"/>
          <w:szCs w:val="28"/>
        </w:rPr>
      </w:pPr>
      <w:r w:rsidRPr="00483E23">
        <w:rPr>
          <w:rFonts w:ascii="Californian FB" w:eastAsia="Times New Roman" w:hAnsi="Californian FB" w:cstheme="minorHAnsi"/>
          <w:b/>
          <w:sz w:val="28"/>
          <w:szCs w:val="28"/>
        </w:rPr>
        <w:t>F. Preemption</w:t>
      </w:r>
    </w:p>
    <w:p w14:paraId="629A31A4" w14:textId="3C3254B3" w:rsidR="00694EE7" w:rsidRDefault="00694EE7" w:rsidP="00ED6BE0">
      <w:pPr>
        <w:rPr>
          <w:rFonts w:ascii="Californian FB" w:hAnsi="Californian FB"/>
          <w:sz w:val="28"/>
          <w:szCs w:val="28"/>
        </w:rPr>
      </w:pPr>
      <w:r w:rsidRPr="00C92FBA">
        <w:rPr>
          <w:rFonts w:ascii="Californian FB" w:hAnsi="Californian FB"/>
          <w:sz w:val="28"/>
          <w:szCs w:val="28"/>
        </w:rPr>
        <w:t xml:space="preserve">p. 1110 </w:t>
      </w:r>
      <w:r>
        <w:rPr>
          <w:rFonts w:ascii="Californian FB" w:hAnsi="Californian FB"/>
          <w:sz w:val="28"/>
          <w:szCs w:val="28"/>
        </w:rPr>
        <w:t>–</w:t>
      </w:r>
      <w:r w:rsidRPr="00C92FBA">
        <w:rPr>
          <w:rFonts w:ascii="Californian FB" w:hAnsi="Californian FB"/>
          <w:sz w:val="28"/>
          <w:szCs w:val="28"/>
        </w:rPr>
        <w:t xml:space="preserve"> </w:t>
      </w:r>
      <w:r>
        <w:rPr>
          <w:rFonts w:ascii="Californian FB" w:hAnsi="Californian FB"/>
          <w:sz w:val="28"/>
          <w:szCs w:val="28"/>
        </w:rPr>
        <w:t>Add at the conclusion of Note 1</w:t>
      </w:r>
      <w:r w:rsidR="0083263B">
        <w:rPr>
          <w:rFonts w:ascii="Californian FB" w:hAnsi="Californian FB"/>
          <w:sz w:val="28"/>
          <w:szCs w:val="28"/>
        </w:rPr>
        <w:t>:</w:t>
      </w:r>
    </w:p>
    <w:p w14:paraId="56298C27" w14:textId="77777777" w:rsidR="00694EE7" w:rsidRPr="00694EE7" w:rsidRDefault="00694EE7" w:rsidP="00ED6BE0">
      <w:pPr>
        <w:jc w:val="both"/>
        <w:rPr>
          <w:rFonts w:ascii="Californian FB" w:hAnsi="Californian FB"/>
          <w:sz w:val="24"/>
          <w:szCs w:val="24"/>
        </w:rPr>
      </w:pPr>
      <w:r w:rsidRPr="00694EE7">
        <w:rPr>
          <w:rFonts w:ascii="Californian FB" w:hAnsi="Californian FB"/>
          <w:sz w:val="24"/>
          <w:szCs w:val="24"/>
        </w:rPr>
        <w:t>In that regard, consider the following language from a recent Fifth Circuit decision</w:t>
      </w:r>
    </w:p>
    <w:p w14:paraId="0212E84D" w14:textId="52932E6B" w:rsidR="00694EE7" w:rsidRPr="00694EE7" w:rsidRDefault="00694EE7" w:rsidP="00751DEB">
      <w:pPr>
        <w:ind w:left="270"/>
        <w:jc w:val="both"/>
        <w:rPr>
          <w:rFonts w:ascii="Californian FB" w:hAnsi="Californian FB"/>
          <w:sz w:val="24"/>
          <w:szCs w:val="24"/>
        </w:rPr>
      </w:pPr>
      <w:r w:rsidRPr="00694EE7">
        <w:rPr>
          <w:rFonts w:ascii="Californian FB" w:hAnsi="Californian FB"/>
          <w:sz w:val="24"/>
          <w:szCs w:val="24"/>
        </w:rPr>
        <w:t>[T]he </w:t>
      </w:r>
      <w:r w:rsidRPr="00694EE7">
        <w:rPr>
          <w:rFonts w:ascii="Californian FB" w:hAnsi="Californian FB"/>
          <w:bCs/>
          <w:sz w:val="24"/>
          <w:szCs w:val="24"/>
        </w:rPr>
        <w:t>Copyright</w:t>
      </w:r>
      <w:r w:rsidRPr="00694EE7">
        <w:rPr>
          <w:rFonts w:ascii="Californian FB" w:hAnsi="Californian FB"/>
          <w:sz w:val="24"/>
          <w:szCs w:val="24"/>
        </w:rPr>
        <w:t> Act preempts more than it protects. </w:t>
      </w:r>
      <w:proofErr w:type="spellStart"/>
      <w:r w:rsidR="00384DE2">
        <w:fldChar w:fldCharType="begin"/>
      </w:r>
      <w:r w:rsidR="00384DE2">
        <w:instrText xml:space="preserve"> HYPERLINK "https://1.next.westlaw.com/Link/Document/FullText?findType=Y&amp;serNum=2040736272&amp;pubNum=0000506&amp;originatingDoc=I2bec2d00c9a311e7b3adfa6a631648d5&amp;refType=RP&amp;fi=co_pp_sp_506_656&amp;originationContext=document&amp;transitionType=DocumentItem&amp;contextData=(sc.Search)" \l "co_pp_sp_506_656" </w:instrText>
      </w:r>
      <w:r w:rsidR="00384DE2">
        <w:fldChar w:fldCharType="separate"/>
      </w:r>
      <w:r w:rsidRPr="00694EE7">
        <w:rPr>
          <w:rStyle w:val="Hyperlink"/>
          <w:rFonts w:ascii="Californian FB" w:hAnsi="Californian FB"/>
          <w:i/>
          <w:iCs/>
          <w:sz w:val="24"/>
          <w:szCs w:val="24"/>
        </w:rPr>
        <w:t>Ultraflo</w:t>
      </w:r>
      <w:proofErr w:type="spellEnd"/>
      <w:r w:rsidRPr="00694EE7">
        <w:rPr>
          <w:rStyle w:val="Hyperlink"/>
          <w:rFonts w:ascii="Californian FB" w:hAnsi="Californian FB"/>
          <w:i/>
          <w:iCs/>
          <w:sz w:val="24"/>
          <w:szCs w:val="24"/>
        </w:rPr>
        <w:t xml:space="preserve"> Corp. v. Pelican Tank Parts, Inc.</w:t>
      </w:r>
      <w:r w:rsidRPr="00694EE7">
        <w:rPr>
          <w:rStyle w:val="Hyperlink"/>
          <w:rFonts w:ascii="Californian FB" w:hAnsi="Californian FB"/>
          <w:sz w:val="24"/>
          <w:szCs w:val="24"/>
        </w:rPr>
        <w:t>, 845 F.3d 652, 656 (5th Cir.)</w:t>
      </w:r>
      <w:r w:rsidR="00384DE2">
        <w:rPr>
          <w:rStyle w:val="Hyperlink"/>
          <w:rFonts w:ascii="Californian FB" w:hAnsi="Californian FB"/>
          <w:sz w:val="24"/>
          <w:szCs w:val="24"/>
        </w:rPr>
        <w:fldChar w:fldCharType="end"/>
      </w:r>
      <w:r w:rsidRPr="00694EE7">
        <w:rPr>
          <w:rFonts w:ascii="Californian FB" w:hAnsi="Californian FB"/>
          <w:sz w:val="24"/>
          <w:szCs w:val="24"/>
        </w:rPr>
        <w:t>, </w:t>
      </w:r>
      <w:r w:rsidRPr="00694EE7">
        <w:rPr>
          <w:rFonts w:ascii="Californian FB" w:hAnsi="Californian FB"/>
          <w:i/>
          <w:iCs/>
          <w:sz w:val="24"/>
          <w:szCs w:val="24"/>
        </w:rPr>
        <w:t>cert. denied</w:t>
      </w:r>
      <w:r w:rsidRPr="00694EE7">
        <w:rPr>
          <w:rFonts w:ascii="Californian FB" w:hAnsi="Californian FB"/>
          <w:sz w:val="24"/>
          <w:szCs w:val="24"/>
        </w:rPr>
        <w:t>, </w:t>
      </w:r>
      <w:hyperlink r:id="rId304" w:history="1">
        <w:r w:rsidRPr="00694EE7">
          <w:rPr>
            <w:rStyle w:val="Hyperlink"/>
            <w:rFonts w:ascii="Californian FB" w:hAnsi="Californian FB"/>
            <w:sz w:val="24"/>
            <w:szCs w:val="24"/>
          </w:rPr>
          <w:t xml:space="preserve">––– U.S. ––––, 137 </w:t>
        </w:r>
        <w:proofErr w:type="spellStart"/>
        <w:r w:rsidRPr="00694EE7">
          <w:rPr>
            <w:rStyle w:val="Hyperlink"/>
            <w:rFonts w:ascii="Californian FB" w:hAnsi="Californian FB"/>
            <w:sz w:val="24"/>
            <w:szCs w:val="24"/>
          </w:rPr>
          <w:t>S.Ct</w:t>
        </w:r>
        <w:proofErr w:type="spellEnd"/>
        <w:r w:rsidRPr="00694EE7">
          <w:rPr>
            <w:rStyle w:val="Hyperlink"/>
            <w:rFonts w:ascii="Californian FB" w:hAnsi="Californian FB"/>
            <w:sz w:val="24"/>
            <w:szCs w:val="24"/>
          </w:rPr>
          <w:t>. 2266, 198 L.Ed.2d 699 (2017)</w:t>
        </w:r>
      </w:hyperlink>
      <w:r w:rsidRPr="00694EE7">
        <w:rPr>
          <w:rFonts w:ascii="Californian FB" w:hAnsi="Californian FB"/>
          <w:sz w:val="24"/>
          <w:szCs w:val="24"/>
        </w:rPr>
        <w:t>. Specifically, § 301(a) “preempts state protection of works that fall within the subject matter (that is, the scope) of </w:t>
      </w:r>
      <w:r w:rsidRPr="00694EE7">
        <w:rPr>
          <w:rFonts w:ascii="Californian FB" w:hAnsi="Californian FB"/>
          <w:bCs/>
          <w:sz w:val="24"/>
          <w:szCs w:val="24"/>
        </w:rPr>
        <w:t>copyright</w:t>
      </w:r>
      <w:r w:rsidRPr="00694EE7">
        <w:rPr>
          <w:rFonts w:ascii="Californian FB" w:hAnsi="Californian FB"/>
          <w:sz w:val="24"/>
          <w:szCs w:val="24"/>
        </w:rPr>
        <w:t>, regardless whether the works are actually afforded protection under the </w:t>
      </w:r>
      <w:r w:rsidRPr="00694EE7">
        <w:rPr>
          <w:rFonts w:ascii="Californian FB" w:hAnsi="Californian FB"/>
          <w:bCs/>
          <w:sz w:val="24"/>
          <w:szCs w:val="24"/>
        </w:rPr>
        <w:t>Copyright</w:t>
      </w:r>
      <w:r w:rsidRPr="00694EE7">
        <w:rPr>
          <w:rFonts w:ascii="Californian FB" w:hAnsi="Californian FB"/>
          <w:sz w:val="24"/>
          <w:szCs w:val="24"/>
        </w:rPr>
        <w:t> Act.” </w:t>
      </w:r>
      <w:hyperlink r:id="rId305" w:history="1">
        <w:r w:rsidRPr="00694EE7">
          <w:rPr>
            <w:rStyle w:val="Hyperlink"/>
            <w:rFonts w:ascii="Californian FB" w:hAnsi="Californian FB"/>
            <w:i/>
            <w:iCs/>
            <w:sz w:val="24"/>
            <w:szCs w:val="24"/>
          </w:rPr>
          <w:t>Id.</w:t>
        </w:r>
      </w:hyperlink>
      <w:r w:rsidRPr="00694EE7">
        <w:rPr>
          <w:rFonts w:ascii="Californian FB" w:hAnsi="Californian FB"/>
          <w:sz w:val="24"/>
          <w:szCs w:val="24"/>
        </w:rPr>
        <w:t> (citing </w:t>
      </w:r>
      <w:hyperlink r:id="rId306" w:anchor="co_pp_sp_506_596" w:history="1">
        <w:r w:rsidRPr="00694EE7">
          <w:rPr>
            <w:rStyle w:val="Hyperlink"/>
            <w:rFonts w:ascii="Californian FB" w:hAnsi="Californian FB"/>
            <w:i/>
            <w:iCs/>
            <w:sz w:val="24"/>
            <w:szCs w:val="24"/>
          </w:rPr>
          <w:t>Spear Mktg., Inc. v. BancorpSouth Bank</w:t>
        </w:r>
        <w:r w:rsidRPr="00694EE7">
          <w:rPr>
            <w:rStyle w:val="Hyperlink"/>
            <w:rFonts w:ascii="Californian FB" w:hAnsi="Californian FB"/>
            <w:sz w:val="24"/>
            <w:szCs w:val="24"/>
          </w:rPr>
          <w:t>, 791 F.3d 586, 596–96 (5th Cir. 2015)</w:t>
        </w:r>
      </w:hyperlink>
      <w:r w:rsidRPr="00694EE7">
        <w:rPr>
          <w:rFonts w:ascii="Californian FB" w:hAnsi="Californian FB"/>
          <w:sz w:val="24"/>
          <w:szCs w:val="24"/>
        </w:rPr>
        <w:t>); </w:t>
      </w:r>
      <w:r w:rsidRPr="00694EE7">
        <w:rPr>
          <w:rFonts w:ascii="Californian FB" w:hAnsi="Californian FB"/>
          <w:i/>
          <w:iCs/>
          <w:sz w:val="24"/>
          <w:szCs w:val="24"/>
        </w:rPr>
        <w:t>see also </w:t>
      </w:r>
      <w:hyperlink r:id="rId307" w:anchor="co_pp_sp_506_1463" w:history="1">
        <w:r w:rsidRPr="00694EE7">
          <w:rPr>
            <w:rStyle w:val="Hyperlink"/>
            <w:rFonts w:ascii="Californian FB" w:hAnsi="Californian FB"/>
            <w:i/>
            <w:iCs/>
            <w:sz w:val="24"/>
            <w:szCs w:val="24"/>
          </w:rPr>
          <w:t>United States ex rel. Berge v. Bd. of Trustees of the Univ. of Ala.</w:t>
        </w:r>
        <w:r w:rsidRPr="00694EE7">
          <w:rPr>
            <w:rStyle w:val="Hyperlink"/>
            <w:rFonts w:ascii="Californian FB" w:hAnsi="Californian FB"/>
            <w:sz w:val="24"/>
            <w:szCs w:val="24"/>
          </w:rPr>
          <w:t>, 104 F.3d 1453, 1463 (4th Cir. 1997)</w:t>
        </w:r>
      </w:hyperlink>
      <w:r w:rsidRPr="00694EE7">
        <w:rPr>
          <w:rFonts w:ascii="Californian FB" w:hAnsi="Californian FB"/>
          <w:sz w:val="24"/>
          <w:szCs w:val="24"/>
        </w:rPr>
        <w:t> (“[S]cope and protection are not synonyms. . . . [T]he shadow actually cast by the Act's preemption is notably broader than the wing of its protection.”). That means the </w:t>
      </w:r>
      <w:r w:rsidRPr="00694EE7">
        <w:rPr>
          <w:rFonts w:ascii="Californian FB" w:hAnsi="Californian FB"/>
          <w:bCs/>
          <w:sz w:val="24"/>
          <w:szCs w:val="24"/>
        </w:rPr>
        <w:t>Copyright</w:t>
      </w:r>
      <w:r w:rsidRPr="00694EE7">
        <w:rPr>
          <w:rFonts w:ascii="Californian FB" w:hAnsi="Californian FB"/>
          <w:sz w:val="24"/>
          <w:szCs w:val="24"/>
        </w:rPr>
        <w:t> Act can preempt a state law claim even if the intellectual property lands in one of </w:t>
      </w:r>
      <w:hyperlink r:id="rId308" w:anchor="co_pp_a83b000018c76" w:history="1">
        <w:r w:rsidRPr="00694EE7">
          <w:rPr>
            <w:rStyle w:val="Hyperlink"/>
            <w:rFonts w:ascii="Californian FB" w:hAnsi="Californian FB"/>
            <w:sz w:val="24"/>
            <w:szCs w:val="24"/>
          </w:rPr>
          <w:t>§ 102(b)</w:t>
        </w:r>
      </w:hyperlink>
      <w:r w:rsidRPr="00694EE7">
        <w:rPr>
          <w:rFonts w:ascii="Californian FB" w:hAnsi="Californian FB"/>
          <w:sz w:val="24"/>
          <w:szCs w:val="24"/>
        </w:rPr>
        <w:t>'s exclusions. </w:t>
      </w:r>
      <w:proofErr w:type="spellStart"/>
      <w:r w:rsidR="00384DE2">
        <w:fldChar w:fldCharType="begin"/>
      </w:r>
      <w:r w:rsidR="00384DE2">
        <w:instrText xml:space="preserve"> HYPERLINK "https://1.next.westlaw.com/Link/Document/FullText?findType=Y&amp;serNum=2040736272&amp;pubNum=0000506&amp;originatingDoc=I2bec2d00c9a311e7b3adfa6a631648d5&amp;refType=RP&amp;fi=co_pp_sp_506_656&amp;originationContext=document&amp;transitionType=DocumentItem&amp;contextData=(sc.Search)" \l "co_pp_sp_506_656" </w:instrText>
      </w:r>
      <w:r w:rsidR="00384DE2">
        <w:fldChar w:fldCharType="separate"/>
      </w:r>
      <w:r w:rsidRPr="00694EE7">
        <w:rPr>
          <w:rStyle w:val="Hyperlink"/>
          <w:rFonts w:ascii="Californian FB" w:hAnsi="Californian FB"/>
          <w:i/>
          <w:iCs/>
          <w:sz w:val="24"/>
          <w:szCs w:val="24"/>
        </w:rPr>
        <w:t>Ultraflo</w:t>
      </w:r>
      <w:proofErr w:type="spellEnd"/>
      <w:r w:rsidRPr="00694EE7">
        <w:rPr>
          <w:rStyle w:val="Hyperlink"/>
          <w:rFonts w:ascii="Californian FB" w:hAnsi="Californian FB"/>
          <w:sz w:val="24"/>
          <w:szCs w:val="24"/>
        </w:rPr>
        <w:t>, 845 F.3d at 656</w:t>
      </w:r>
      <w:r w:rsidR="00384DE2">
        <w:rPr>
          <w:rStyle w:val="Hyperlink"/>
          <w:rFonts w:ascii="Californian FB" w:hAnsi="Californian FB"/>
          <w:sz w:val="24"/>
          <w:szCs w:val="24"/>
        </w:rPr>
        <w:fldChar w:fldCharType="end"/>
      </w:r>
      <w:r w:rsidRPr="00694EE7">
        <w:rPr>
          <w:rFonts w:ascii="Californian FB" w:hAnsi="Californian FB"/>
          <w:sz w:val="24"/>
          <w:szCs w:val="24"/>
        </w:rPr>
        <w:t>; </w:t>
      </w:r>
      <w:hyperlink r:id="rId309" w:anchor="co_pp_sp_506_596" w:history="1">
        <w:r w:rsidRPr="00694EE7">
          <w:rPr>
            <w:rStyle w:val="Hyperlink"/>
            <w:rFonts w:ascii="Californian FB" w:hAnsi="Californian FB"/>
            <w:i/>
            <w:iCs/>
            <w:sz w:val="24"/>
            <w:szCs w:val="24"/>
          </w:rPr>
          <w:t>Spear</w:t>
        </w:r>
        <w:r w:rsidRPr="00694EE7">
          <w:rPr>
            <w:rStyle w:val="Hyperlink"/>
            <w:rFonts w:ascii="Californian FB" w:hAnsi="Californian FB"/>
            <w:sz w:val="24"/>
            <w:szCs w:val="24"/>
          </w:rPr>
          <w:t>, 791 F.3d at 596–97</w:t>
        </w:r>
      </w:hyperlink>
      <w:r w:rsidRPr="00694EE7">
        <w:rPr>
          <w:rFonts w:ascii="Californian FB" w:hAnsi="Californian FB"/>
          <w:sz w:val="24"/>
          <w:szCs w:val="24"/>
        </w:rPr>
        <w:t>.</w:t>
      </w:r>
    </w:p>
    <w:p w14:paraId="3C2866C9" w14:textId="7368AB97" w:rsidR="00694EE7" w:rsidRPr="00694EE7" w:rsidRDefault="00000000" w:rsidP="00ED6BE0">
      <w:pPr>
        <w:jc w:val="both"/>
        <w:rPr>
          <w:rFonts w:ascii="Californian FB" w:hAnsi="Californian FB"/>
          <w:sz w:val="24"/>
          <w:szCs w:val="24"/>
        </w:rPr>
      </w:pPr>
      <w:hyperlink r:id="rId310" w:history="1">
        <w:r w:rsidR="00694EE7" w:rsidRPr="00694EE7">
          <w:rPr>
            <w:rStyle w:val="Hyperlink"/>
            <w:rFonts w:ascii="Californian FB" w:hAnsi="Californian FB"/>
            <w:bCs/>
            <w:i/>
            <w:sz w:val="24"/>
            <w:szCs w:val="24"/>
          </w:rPr>
          <w:t xml:space="preserve">Motion Medical Technologies, L.L.C. v. </w:t>
        </w:r>
        <w:proofErr w:type="spellStart"/>
        <w:r w:rsidR="00694EE7" w:rsidRPr="00694EE7">
          <w:rPr>
            <w:rStyle w:val="Hyperlink"/>
            <w:rFonts w:ascii="Californian FB" w:hAnsi="Californian FB"/>
            <w:bCs/>
            <w:i/>
            <w:sz w:val="24"/>
            <w:szCs w:val="24"/>
          </w:rPr>
          <w:t>Thermotek</w:t>
        </w:r>
        <w:proofErr w:type="spellEnd"/>
        <w:r w:rsidR="00694EE7" w:rsidRPr="00694EE7">
          <w:rPr>
            <w:rStyle w:val="Hyperlink"/>
            <w:rFonts w:ascii="Californian FB" w:hAnsi="Californian FB"/>
            <w:bCs/>
            <w:i/>
            <w:sz w:val="24"/>
            <w:szCs w:val="24"/>
          </w:rPr>
          <w:t xml:space="preserve">, Incorporated, </w:t>
        </w:r>
        <w:r w:rsidR="00694EE7" w:rsidRPr="00694EE7">
          <w:rPr>
            <w:rStyle w:val="Hyperlink"/>
            <w:rFonts w:ascii="Californian FB" w:hAnsi="Californian FB"/>
            <w:bCs/>
            <w:sz w:val="24"/>
            <w:szCs w:val="24"/>
          </w:rPr>
          <w:t>875 F.3d 765, 773 (5</w:t>
        </w:r>
        <w:r w:rsidR="00694EE7" w:rsidRPr="00694EE7">
          <w:rPr>
            <w:rStyle w:val="Hyperlink"/>
            <w:rFonts w:ascii="Californian FB" w:hAnsi="Californian FB"/>
            <w:bCs/>
            <w:sz w:val="24"/>
            <w:szCs w:val="24"/>
            <w:vertAlign w:val="superscript"/>
          </w:rPr>
          <w:t>th</w:t>
        </w:r>
        <w:r w:rsidR="00694EE7" w:rsidRPr="00694EE7">
          <w:rPr>
            <w:rStyle w:val="Hyperlink"/>
            <w:rFonts w:ascii="Californian FB" w:hAnsi="Californian FB"/>
            <w:bCs/>
            <w:sz w:val="24"/>
            <w:szCs w:val="24"/>
          </w:rPr>
          <w:t xml:space="preserve"> Cir. 2017)</w:t>
        </w:r>
      </w:hyperlink>
      <w:r w:rsidR="00694EE7" w:rsidRPr="00694EE7">
        <w:rPr>
          <w:rFonts w:ascii="Californian FB" w:hAnsi="Californian FB"/>
          <w:bCs/>
          <w:i/>
          <w:sz w:val="24"/>
          <w:szCs w:val="24"/>
        </w:rPr>
        <w:t>.</w:t>
      </w:r>
    </w:p>
    <w:p w14:paraId="32031821" w14:textId="7D72F8CF" w:rsidR="00483E23" w:rsidRDefault="00483E23" w:rsidP="00ED6BE0">
      <w:pPr>
        <w:shd w:val="clear" w:color="auto" w:fill="FFFFFF"/>
        <w:rPr>
          <w:rFonts w:ascii="Californian FB" w:eastAsia="Times New Roman" w:hAnsi="Californian FB" w:cstheme="minorHAnsi"/>
          <w:sz w:val="28"/>
          <w:szCs w:val="28"/>
        </w:rPr>
      </w:pPr>
      <w:r w:rsidRPr="00483E23">
        <w:rPr>
          <w:rFonts w:ascii="Californian FB" w:eastAsia="Times New Roman" w:hAnsi="Californian FB" w:cstheme="minorHAnsi"/>
          <w:sz w:val="28"/>
          <w:szCs w:val="28"/>
        </w:rPr>
        <w:t>p. 1117</w:t>
      </w:r>
      <w:r>
        <w:rPr>
          <w:rFonts w:ascii="Californian FB" w:eastAsia="Times New Roman" w:hAnsi="Californian FB" w:cstheme="minorHAnsi"/>
          <w:sz w:val="28"/>
          <w:szCs w:val="28"/>
        </w:rPr>
        <w:t>: Insert after end of first sentence:</w:t>
      </w:r>
    </w:p>
    <w:p w14:paraId="6898079C" w14:textId="118BAF34" w:rsidR="008D1DDB" w:rsidRPr="00DA7CE3" w:rsidRDefault="009B79D3" w:rsidP="00ED6BE0">
      <w:pPr>
        <w:shd w:val="clear" w:color="auto" w:fill="FFFFFF"/>
        <w:rPr>
          <w:rFonts w:cstheme="minorHAnsi"/>
        </w:rPr>
      </w:pPr>
      <w:r>
        <w:rPr>
          <w:rFonts w:ascii="Californian FB" w:eastAsia="Times New Roman" w:hAnsi="Californian FB" w:cstheme="minorHAnsi"/>
          <w:sz w:val="24"/>
          <w:szCs w:val="24"/>
        </w:rPr>
        <w:t xml:space="preserve">More recently, in a case involving paid downloads of photographs of former student-athletes, the Ninth Circuit followed the analysis and preemption conclusion of </w:t>
      </w:r>
      <w:r>
        <w:rPr>
          <w:rFonts w:ascii="Californian FB" w:eastAsia="Times New Roman" w:hAnsi="Californian FB" w:cstheme="minorHAnsi"/>
          <w:i/>
          <w:sz w:val="24"/>
          <w:szCs w:val="24"/>
        </w:rPr>
        <w:t>Dryer</w:t>
      </w:r>
      <w:r>
        <w:rPr>
          <w:rFonts w:ascii="Californian FB" w:eastAsia="Times New Roman" w:hAnsi="Californian FB" w:cstheme="minorHAnsi"/>
          <w:sz w:val="24"/>
          <w:szCs w:val="24"/>
        </w:rPr>
        <w:t xml:space="preserve">.  </w:t>
      </w:r>
      <w:r>
        <w:rPr>
          <w:rFonts w:ascii="Californian FB" w:eastAsia="Times New Roman" w:hAnsi="Californian FB" w:cstheme="minorHAnsi"/>
          <w:i/>
          <w:sz w:val="24"/>
          <w:szCs w:val="24"/>
        </w:rPr>
        <w:t xml:space="preserve">See </w:t>
      </w:r>
      <w:r>
        <w:rPr>
          <w:rFonts w:ascii="Californian FB" w:eastAsia="Times New Roman" w:hAnsi="Californian FB" w:cstheme="minorHAnsi"/>
          <w:sz w:val="24"/>
          <w:szCs w:val="24"/>
        </w:rPr>
        <w:t xml:space="preserve"> </w:t>
      </w:r>
      <w:hyperlink r:id="rId311" w:history="1">
        <w:r w:rsidR="00483E23" w:rsidRPr="0079446D">
          <w:rPr>
            <w:rStyle w:val="Hyperlink"/>
            <w:rFonts w:ascii="Californian FB" w:eastAsia="Times New Roman" w:hAnsi="Californian FB" w:cstheme="minorHAnsi"/>
            <w:sz w:val="24"/>
            <w:szCs w:val="24"/>
          </w:rPr>
          <w:t>Maloney v. T3Media, Inc., 853 F.3d 1004 (2017)</w:t>
        </w:r>
        <w:r w:rsidRPr="0079446D">
          <w:rPr>
            <w:rStyle w:val="Hyperlink"/>
            <w:rFonts w:ascii="Californian FB" w:eastAsia="Times New Roman" w:hAnsi="Californian FB" w:cstheme="minorHAnsi"/>
            <w:sz w:val="24"/>
            <w:szCs w:val="24"/>
          </w:rPr>
          <w:t>.</w:t>
        </w:r>
      </w:hyperlink>
    </w:p>
    <w:sectPr w:rsidR="008D1DDB" w:rsidRPr="00DA7CE3" w:rsidSect="00422F67">
      <w:footerReference w:type="default" r:id="rId3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42756" w14:textId="77777777" w:rsidR="005E447F" w:rsidRDefault="005E447F" w:rsidP="00BE02F7">
      <w:pPr>
        <w:spacing w:after="0" w:line="240" w:lineRule="auto"/>
      </w:pPr>
      <w:r>
        <w:separator/>
      </w:r>
    </w:p>
  </w:endnote>
  <w:endnote w:type="continuationSeparator" w:id="0">
    <w:p w14:paraId="3976806D" w14:textId="77777777" w:rsidR="005E447F" w:rsidRDefault="005E447F" w:rsidP="00BE0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C">
    <w:altName w:val="Cambria"/>
    <w:panose1 w:val="00000000000000000000"/>
    <w:charset w:val="00"/>
    <w:family w:val="roman"/>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LTStd-Cn-SC700">
    <w:panose1 w:val="00000000000000000000"/>
    <w:charset w:val="00"/>
    <w:family w:val="swiss"/>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BerkeleyStd-Book">
    <w:altName w:val="Cambria"/>
    <w:panose1 w:val="00000000000000000000"/>
    <w:charset w:val="00"/>
    <w:family w:val="roman"/>
    <w:notTrueType/>
    <w:pitch w:val="default"/>
    <w:sig w:usb0="00000003" w:usb1="00000000" w:usb2="00000000" w:usb3="00000000" w:csb0="00000001" w:csb1="00000000"/>
  </w:font>
  <w:font w:name="BerkeleyStd-BookItalic">
    <w:altName w:val="Cambria"/>
    <w:panose1 w:val="00000000000000000000"/>
    <w:charset w:val="00"/>
    <w:family w:val="roman"/>
    <w:notTrueType/>
    <w:pitch w:val="default"/>
    <w:sig w:usb0="00000003" w:usb1="00000000" w:usb2="00000000" w:usb3="00000000" w:csb0="00000001" w:csb1="00000000"/>
  </w:font>
  <w:font w:name="BerkeleyStd-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TCGaramondStd-BkNarrowIt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855197"/>
      <w:docPartObj>
        <w:docPartGallery w:val="Page Numbers (Bottom of Page)"/>
        <w:docPartUnique/>
      </w:docPartObj>
    </w:sdtPr>
    <w:sdtEndPr>
      <w:rPr>
        <w:rFonts w:ascii="Californian FB" w:hAnsi="Californian FB"/>
        <w:noProof/>
        <w:sz w:val="24"/>
        <w:szCs w:val="24"/>
      </w:rPr>
    </w:sdtEndPr>
    <w:sdtContent>
      <w:p w14:paraId="1FD88DE2" w14:textId="51D84497" w:rsidR="00C747A6" w:rsidRPr="00BE02F7" w:rsidRDefault="00C747A6">
        <w:pPr>
          <w:pStyle w:val="Footer"/>
          <w:jc w:val="center"/>
          <w:rPr>
            <w:rFonts w:ascii="Californian FB" w:hAnsi="Californian FB"/>
            <w:sz w:val="24"/>
            <w:szCs w:val="24"/>
          </w:rPr>
        </w:pPr>
        <w:r w:rsidRPr="00BE02F7">
          <w:rPr>
            <w:rFonts w:ascii="Californian FB" w:hAnsi="Californian FB"/>
            <w:sz w:val="24"/>
            <w:szCs w:val="24"/>
          </w:rPr>
          <w:fldChar w:fldCharType="begin"/>
        </w:r>
        <w:r w:rsidRPr="00BE02F7">
          <w:rPr>
            <w:rFonts w:ascii="Californian FB" w:hAnsi="Californian FB"/>
            <w:sz w:val="24"/>
            <w:szCs w:val="24"/>
          </w:rPr>
          <w:instrText xml:space="preserve"> PAGE   \* MERGEFORMAT </w:instrText>
        </w:r>
        <w:r w:rsidRPr="00BE02F7">
          <w:rPr>
            <w:rFonts w:ascii="Californian FB" w:hAnsi="Californian FB"/>
            <w:sz w:val="24"/>
            <w:szCs w:val="24"/>
          </w:rPr>
          <w:fldChar w:fldCharType="separate"/>
        </w:r>
        <w:r w:rsidR="00415C84">
          <w:rPr>
            <w:rFonts w:ascii="Californian FB" w:hAnsi="Californian FB"/>
            <w:noProof/>
            <w:sz w:val="24"/>
            <w:szCs w:val="24"/>
          </w:rPr>
          <w:t>48</w:t>
        </w:r>
        <w:r w:rsidRPr="00BE02F7">
          <w:rPr>
            <w:rFonts w:ascii="Californian FB" w:hAnsi="Californian FB"/>
            <w:noProof/>
            <w:sz w:val="24"/>
            <w:szCs w:val="24"/>
          </w:rPr>
          <w:fldChar w:fldCharType="end"/>
        </w:r>
      </w:p>
    </w:sdtContent>
  </w:sdt>
  <w:p w14:paraId="45D535FC" w14:textId="77777777" w:rsidR="00C747A6" w:rsidRDefault="00C74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E5F71" w14:textId="77777777" w:rsidR="005E447F" w:rsidRDefault="005E447F" w:rsidP="00BE02F7">
      <w:pPr>
        <w:spacing w:after="0" w:line="240" w:lineRule="auto"/>
      </w:pPr>
      <w:r>
        <w:separator/>
      </w:r>
    </w:p>
  </w:footnote>
  <w:footnote w:type="continuationSeparator" w:id="0">
    <w:p w14:paraId="067B7282" w14:textId="77777777" w:rsidR="005E447F" w:rsidRDefault="005E447F" w:rsidP="00BE02F7">
      <w:pPr>
        <w:spacing w:after="0" w:line="240" w:lineRule="auto"/>
      </w:pPr>
      <w:r>
        <w:continuationSeparator/>
      </w:r>
    </w:p>
  </w:footnote>
  <w:footnote w:id="1">
    <w:p w14:paraId="6FD096F0" w14:textId="7C2606A8" w:rsidR="00C747A6" w:rsidRPr="00E50689" w:rsidRDefault="00C747A6" w:rsidP="00260C60">
      <w:pPr>
        <w:widowControl w:val="0"/>
        <w:autoSpaceDE w:val="0"/>
        <w:autoSpaceDN w:val="0"/>
        <w:adjustRightInd w:val="0"/>
        <w:spacing w:after="0" w:line="240" w:lineRule="auto"/>
        <w:jc w:val="both"/>
        <w:rPr>
          <w:rFonts w:ascii="Californian FB" w:hAnsi="Californian FB" w:cs="Times New Roman"/>
          <w:color w:val="000000"/>
          <w:sz w:val="24"/>
          <w:szCs w:val="24"/>
        </w:rPr>
      </w:pPr>
      <w:r>
        <w:rPr>
          <w:rStyle w:val="FootnoteReference"/>
        </w:rPr>
        <w:t>8</w:t>
      </w:r>
      <w:r>
        <w:t xml:space="preserve"> </w:t>
      </w:r>
      <w:r w:rsidRPr="00E50689">
        <w:rPr>
          <w:rFonts w:ascii="Californian FB" w:hAnsi="Californian FB" w:cs="Times New Roman"/>
          <w:color w:val="000000"/>
          <w:sz w:val="24"/>
          <w:szCs w:val="24"/>
        </w:rPr>
        <w:t xml:space="preserve">Although legislative history is not at issue in this case, the majority also contends that its rule is necessary to fend off the possibility that “[a] State could monetize its entire suite of legislative history.” </w:t>
      </w:r>
      <w:r w:rsidRPr="00E50689">
        <w:rPr>
          <w:rFonts w:ascii="Californian FB" w:hAnsi="Californian FB" w:cs="Times New Roman"/>
          <w:i/>
          <w:iCs/>
          <w:color w:val="000000"/>
          <w:sz w:val="24"/>
          <w:szCs w:val="24"/>
        </w:rPr>
        <w:t>Ante</w:t>
      </w:r>
      <w:r w:rsidRPr="00E50689">
        <w:rPr>
          <w:rFonts w:ascii="Californian FB" w:hAnsi="Californian FB" w:cs="Times New Roman"/>
          <w:color w:val="000000"/>
          <w:sz w:val="24"/>
          <w:szCs w:val="24"/>
        </w:rPr>
        <w:t xml:space="preserve">, at 1513. Putting aside the jurisprudential debate over the use of such materials in interpreting federal statutes, many States can, and have, specifically authorized courts to consider legislative history when construing statutes. See, </w:t>
      </w:r>
      <w:r w:rsidRPr="00E50689">
        <w:rPr>
          <w:rFonts w:ascii="Californian FB" w:hAnsi="Californian FB" w:cs="Times New Roman"/>
          <w:i/>
          <w:iCs/>
          <w:color w:val="000000"/>
          <w:sz w:val="24"/>
          <w:szCs w:val="24"/>
        </w:rPr>
        <w:t>e.g.</w:t>
      </w:r>
      <w:r w:rsidRPr="00E50689">
        <w:rPr>
          <w:rFonts w:ascii="Californian FB" w:hAnsi="Californian FB" w:cs="Times New Roman"/>
          <w:color w:val="000000"/>
          <w:sz w:val="24"/>
          <w:szCs w:val="24"/>
        </w:rPr>
        <w:t xml:space="preserve">, </w:t>
      </w:r>
      <w:hyperlink r:id="rId1" w:anchor="co_pp_626f000023d46" w:history="1">
        <w:r w:rsidRPr="00E50689">
          <w:rPr>
            <w:rFonts w:ascii="Californian FB" w:hAnsi="Californian FB" w:cs="Times New Roman"/>
            <w:color w:val="000000"/>
            <w:sz w:val="24"/>
            <w:szCs w:val="24"/>
          </w:rPr>
          <w:t>Colo. Rev. Stat. § 2–4–203(1)(c) (2019)</w:t>
        </w:r>
      </w:hyperlink>
      <w:r w:rsidRPr="00E50689">
        <w:rPr>
          <w:rFonts w:ascii="Californian FB" w:hAnsi="Californian FB" w:cs="Times New Roman"/>
          <w:color w:val="000000"/>
          <w:sz w:val="24"/>
          <w:szCs w:val="24"/>
        </w:rPr>
        <w:t xml:space="preserve">; </w:t>
      </w:r>
      <w:hyperlink r:id="rId2" w:history="1">
        <w:r w:rsidRPr="00E50689">
          <w:rPr>
            <w:rFonts w:ascii="Californian FB" w:hAnsi="Californian FB" w:cs="Times New Roman"/>
            <w:color w:val="000000"/>
            <w:sz w:val="24"/>
            <w:szCs w:val="24"/>
          </w:rPr>
          <w:t>Iowa Code § 4.6(3)</w:t>
        </w:r>
      </w:hyperlink>
      <w:r w:rsidRPr="00E50689">
        <w:rPr>
          <w:rFonts w:ascii="Californian FB" w:hAnsi="Californian FB" w:cs="Times New Roman"/>
          <w:color w:val="000000"/>
          <w:sz w:val="24"/>
          <w:szCs w:val="24"/>
        </w:rPr>
        <w:t xml:space="preserve"> (2019); </w:t>
      </w:r>
      <w:hyperlink r:id="rId3" w:anchor="co_pp_794b00004e3d1" w:history="1">
        <w:r w:rsidRPr="00E50689">
          <w:rPr>
            <w:rFonts w:ascii="Californian FB" w:hAnsi="Californian FB" w:cs="Times New Roman"/>
            <w:color w:val="000000"/>
            <w:sz w:val="24"/>
            <w:szCs w:val="24"/>
          </w:rPr>
          <w:t>Minn. Stat. § 645.16(7) (2018)</w:t>
        </w:r>
      </w:hyperlink>
      <w:r w:rsidRPr="00E50689">
        <w:rPr>
          <w:rFonts w:ascii="Californian FB" w:hAnsi="Californian FB" w:cs="Times New Roman"/>
          <w:color w:val="000000"/>
          <w:sz w:val="24"/>
          <w:szCs w:val="24"/>
        </w:rPr>
        <w:t xml:space="preserve">; </w:t>
      </w:r>
      <w:hyperlink r:id="rId4" w:history="1">
        <w:r w:rsidRPr="00E50689">
          <w:rPr>
            <w:rFonts w:ascii="Californian FB" w:hAnsi="Californian FB" w:cs="Times New Roman"/>
            <w:color w:val="000000"/>
            <w:sz w:val="24"/>
            <w:szCs w:val="24"/>
          </w:rPr>
          <w:t>N. M. Stat. Ann. § 12–2A–20(C)(2) (2019)</w:t>
        </w:r>
      </w:hyperlink>
      <w:r w:rsidRPr="00E50689">
        <w:rPr>
          <w:rFonts w:ascii="Californian FB" w:hAnsi="Californian FB" w:cs="Times New Roman"/>
          <w:color w:val="000000"/>
          <w:sz w:val="24"/>
          <w:szCs w:val="24"/>
        </w:rPr>
        <w:t xml:space="preserve">; N. D. Cent. Code Ann. § 1–02–39(3) (2019); </w:t>
      </w:r>
      <w:hyperlink r:id="rId5" w:anchor="co_pp_cf1000002eff7" w:history="1">
        <w:r w:rsidRPr="00E50689">
          <w:rPr>
            <w:rFonts w:ascii="Californian FB" w:hAnsi="Californian FB" w:cs="Times New Roman"/>
            <w:color w:val="000000"/>
            <w:sz w:val="24"/>
            <w:szCs w:val="24"/>
          </w:rPr>
          <w:t>Ohio Rev. Code Ann. § 1.49(C)</w:t>
        </w:r>
      </w:hyperlink>
      <w:r w:rsidRPr="00E50689">
        <w:rPr>
          <w:rFonts w:ascii="Californian FB" w:hAnsi="Californian FB" w:cs="Times New Roman"/>
          <w:color w:val="000000"/>
          <w:sz w:val="24"/>
          <w:szCs w:val="24"/>
        </w:rPr>
        <w:t xml:space="preserve"> (Lexis 2019); </w:t>
      </w:r>
      <w:hyperlink r:id="rId6" w:anchor="co_pp_2cf2000076010" w:history="1">
        <w:r w:rsidRPr="00E50689">
          <w:rPr>
            <w:rFonts w:ascii="Californian FB" w:hAnsi="Californian FB" w:cs="Times New Roman"/>
            <w:color w:val="000000"/>
            <w:sz w:val="24"/>
            <w:szCs w:val="24"/>
          </w:rPr>
          <w:t>1 Pa. Cons. Stat. § 1921(c)(7)</w:t>
        </w:r>
      </w:hyperlink>
      <w:r w:rsidRPr="00E50689">
        <w:rPr>
          <w:rFonts w:ascii="Californian FB" w:hAnsi="Californian FB" w:cs="Times New Roman"/>
          <w:color w:val="000000"/>
          <w:sz w:val="24"/>
          <w:szCs w:val="24"/>
        </w:rPr>
        <w:t xml:space="preserve"> (2016). Given the direct role that legislative history plays in the construction of statutes in these States, it is hardly clear that such States could subject their legislative histories to copyright.</w:t>
      </w:r>
    </w:p>
    <w:p w14:paraId="303B583E" w14:textId="77777777" w:rsidR="00C747A6" w:rsidRDefault="00C747A6" w:rsidP="00260C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3E1A"/>
    <w:multiLevelType w:val="hybridMultilevel"/>
    <w:tmpl w:val="5FACDB68"/>
    <w:lvl w:ilvl="0" w:tplc="3C26C7FA">
      <w:start w:val="14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076D3"/>
    <w:multiLevelType w:val="hybridMultilevel"/>
    <w:tmpl w:val="A2A6343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15:restartNumberingAfterBreak="0">
    <w:nsid w:val="246B49DE"/>
    <w:multiLevelType w:val="hybridMultilevel"/>
    <w:tmpl w:val="35128358"/>
    <w:lvl w:ilvl="0" w:tplc="DE0AA84E">
      <w:start w:val="14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E4C6D"/>
    <w:multiLevelType w:val="hybridMultilevel"/>
    <w:tmpl w:val="4CF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B525B5"/>
    <w:multiLevelType w:val="hybridMultilevel"/>
    <w:tmpl w:val="25AC85D0"/>
    <w:lvl w:ilvl="0" w:tplc="B582D042">
      <w:start w:val="14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6A69D9"/>
    <w:multiLevelType w:val="hybridMultilevel"/>
    <w:tmpl w:val="A6E4F5A2"/>
    <w:lvl w:ilvl="0" w:tplc="790E7B60">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 w15:restartNumberingAfterBreak="0">
    <w:nsid w:val="79E94554"/>
    <w:multiLevelType w:val="hybridMultilevel"/>
    <w:tmpl w:val="B44A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214838">
    <w:abstractNumId w:val="3"/>
  </w:num>
  <w:num w:numId="2" w16cid:durableId="520169773">
    <w:abstractNumId w:val="0"/>
  </w:num>
  <w:num w:numId="3" w16cid:durableId="205683915">
    <w:abstractNumId w:val="4"/>
  </w:num>
  <w:num w:numId="4" w16cid:durableId="1267889620">
    <w:abstractNumId w:val="2"/>
  </w:num>
  <w:num w:numId="5" w16cid:durableId="1436092234">
    <w:abstractNumId w:val="6"/>
  </w:num>
  <w:num w:numId="6" w16cid:durableId="928007193">
    <w:abstractNumId w:val="1"/>
  </w:num>
  <w:num w:numId="7" w16cid:durableId="1091853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E5"/>
    <w:rsid w:val="000000EA"/>
    <w:rsid w:val="000075C0"/>
    <w:rsid w:val="000154CF"/>
    <w:rsid w:val="0002738B"/>
    <w:rsid w:val="00031641"/>
    <w:rsid w:val="00033D51"/>
    <w:rsid w:val="00042387"/>
    <w:rsid w:val="0005032B"/>
    <w:rsid w:val="000519BC"/>
    <w:rsid w:val="00054DF7"/>
    <w:rsid w:val="0005523B"/>
    <w:rsid w:val="000633CD"/>
    <w:rsid w:val="00085492"/>
    <w:rsid w:val="000879AF"/>
    <w:rsid w:val="000A7C79"/>
    <w:rsid w:val="000B0CB3"/>
    <w:rsid w:val="000B6966"/>
    <w:rsid w:val="000C4637"/>
    <w:rsid w:val="000C50A5"/>
    <w:rsid w:val="000C7125"/>
    <w:rsid w:val="000C73D7"/>
    <w:rsid w:val="000C7C21"/>
    <w:rsid w:val="000E35AC"/>
    <w:rsid w:val="000F52E0"/>
    <w:rsid w:val="001017B1"/>
    <w:rsid w:val="00103843"/>
    <w:rsid w:val="001202ED"/>
    <w:rsid w:val="00133822"/>
    <w:rsid w:val="0013779B"/>
    <w:rsid w:val="00151849"/>
    <w:rsid w:val="001542C1"/>
    <w:rsid w:val="001616F6"/>
    <w:rsid w:val="00166E80"/>
    <w:rsid w:val="00172C23"/>
    <w:rsid w:val="001862CB"/>
    <w:rsid w:val="00192622"/>
    <w:rsid w:val="001A7B22"/>
    <w:rsid w:val="001B52E1"/>
    <w:rsid w:val="001B6363"/>
    <w:rsid w:val="001C0F0C"/>
    <w:rsid w:val="001C2DD7"/>
    <w:rsid w:val="001C63A2"/>
    <w:rsid w:val="001D1135"/>
    <w:rsid w:val="001E3E99"/>
    <w:rsid w:val="001F15FC"/>
    <w:rsid w:val="00200282"/>
    <w:rsid w:val="00212238"/>
    <w:rsid w:val="00213E6B"/>
    <w:rsid w:val="00216A5B"/>
    <w:rsid w:val="00224761"/>
    <w:rsid w:val="002531A6"/>
    <w:rsid w:val="002555D4"/>
    <w:rsid w:val="00260C60"/>
    <w:rsid w:val="00261D9D"/>
    <w:rsid w:val="002650D2"/>
    <w:rsid w:val="00284B55"/>
    <w:rsid w:val="00285E60"/>
    <w:rsid w:val="002B6DC9"/>
    <w:rsid w:val="002C3702"/>
    <w:rsid w:val="002D475D"/>
    <w:rsid w:val="002E3960"/>
    <w:rsid w:val="002E42F8"/>
    <w:rsid w:val="002F2BAD"/>
    <w:rsid w:val="003071D7"/>
    <w:rsid w:val="00315D74"/>
    <w:rsid w:val="00322AF2"/>
    <w:rsid w:val="00322DA3"/>
    <w:rsid w:val="00332554"/>
    <w:rsid w:val="00335774"/>
    <w:rsid w:val="0034075A"/>
    <w:rsid w:val="00350A13"/>
    <w:rsid w:val="00360B9F"/>
    <w:rsid w:val="00364252"/>
    <w:rsid w:val="0036525D"/>
    <w:rsid w:val="0036570A"/>
    <w:rsid w:val="00372ED7"/>
    <w:rsid w:val="0037359A"/>
    <w:rsid w:val="00384DE2"/>
    <w:rsid w:val="00387181"/>
    <w:rsid w:val="003A08FA"/>
    <w:rsid w:val="003A2DA7"/>
    <w:rsid w:val="003A5D30"/>
    <w:rsid w:val="003A766B"/>
    <w:rsid w:val="003B2CB4"/>
    <w:rsid w:val="003B40D3"/>
    <w:rsid w:val="003B6E87"/>
    <w:rsid w:val="003C3742"/>
    <w:rsid w:val="003C5461"/>
    <w:rsid w:val="003C5EB8"/>
    <w:rsid w:val="003C74F8"/>
    <w:rsid w:val="003D07F7"/>
    <w:rsid w:val="003D0F18"/>
    <w:rsid w:val="003D4B63"/>
    <w:rsid w:val="003E234C"/>
    <w:rsid w:val="004004CC"/>
    <w:rsid w:val="00400BBE"/>
    <w:rsid w:val="00414B4F"/>
    <w:rsid w:val="004155AF"/>
    <w:rsid w:val="00415C84"/>
    <w:rsid w:val="00420EAA"/>
    <w:rsid w:val="00420EEF"/>
    <w:rsid w:val="00422F67"/>
    <w:rsid w:val="004314D1"/>
    <w:rsid w:val="00432737"/>
    <w:rsid w:val="00462814"/>
    <w:rsid w:val="004628D5"/>
    <w:rsid w:val="004637B6"/>
    <w:rsid w:val="00464F15"/>
    <w:rsid w:val="004712A3"/>
    <w:rsid w:val="0047581B"/>
    <w:rsid w:val="004772CC"/>
    <w:rsid w:val="00483E23"/>
    <w:rsid w:val="004917E6"/>
    <w:rsid w:val="004A64EF"/>
    <w:rsid w:val="004A6DAE"/>
    <w:rsid w:val="004B062C"/>
    <w:rsid w:val="004B7FE5"/>
    <w:rsid w:val="004D2A1A"/>
    <w:rsid w:val="004E3A67"/>
    <w:rsid w:val="004F1FBD"/>
    <w:rsid w:val="004F2FAB"/>
    <w:rsid w:val="004F7D53"/>
    <w:rsid w:val="005016BD"/>
    <w:rsid w:val="0050400D"/>
    <w:rsid w:val="00506A5C"/>
    <w:rsid w:val="00507496"/>
    <w:rsid w:val="00511674"/>
    <w:rsid w:val="005204FB"/>
    <w:rsid w:val="00533367"/>
    <w:rsid w:val="00534D6A"/>
    <w:rsid w:val="005378DD"/>
    <w:rsid w:val="00540D5F"/>
    <w:rsid w:val="00542356"/>
    <w:rsid w:val="005447CC"/>
    <w:rsid w:val="00546E49"/>
    <w:rsid w:val="0054753B"/>
    <w:rsid w:val="00547BD1"/>
    <w:rsid w:val="00552BCC"/>
    <w:rsid w:val="00554A98"/>
    <w:rsid w:val="0056746C"/>
    <w:rsid w:val="005758F8"/>
    <w:rsid w:val="005774E0"/>
    <w:rsid w:val="00580837"/>
    <w:rsid w:val="0058463A"/>
    <w:rsid w:val="00587AAD"/>
    <w:rsid w:val="005A1CF2"/>
    <w:rsid w:val="005A4F87"/>
    <w:rsid w:val="005B110B"/>
    <w:rsid w:val="005C313D"/>
    <w:rsid w:val="005C71C1"/>
    <w:rsid w:val="005C7CA5"/>
    <w:rsid w:val="005D0FED"/>
    <w:rsid w:val="005D105D"/>
    <w:rsid w:val="005D25D7"/>
    <w:rsid w:val="005E1037"/>
    <w:rsid w:val="005E447F"/>
    <w:rsid w:val="005E6003"/>
    <w:rsid w:val="005E748E"/>
    <w:rsid w:val="005F5F19"/>
    <w:rsid w:val="005F6079"/>
    <w:rsid w:val="005F7255"/>
    <w:rsid w:val="006109B1"/>
    <w:rsid w:val="006212B7"/>
    <w:rsid w:val="00627460"/>
    <w:rsid w:val="0064157C"/>
    <w:rsid w:val="0064291C"/>
    <w:rsid w:val="00643152"/>
    <w:rsid w:val="00644A02"/>
    <w:rsid w:val="00645B81"/>
    <w:rsid w:val="00646BF4"/>
    <w:rsid w:val="00651121"/>
    <w:rsid w:val="0065523B"/>
    <w:rsid w:val="00656F24"/>
    <w:rsid w:val="006618CC"/>
    <w:rsid w:val="00677493"/>
    <w:rsid w:val="00690007"/>
    <w:rsid w:val="0069100C"/>
    <w:rsid w:val="00694EE7"/>
    <w:rsid w:val="00695B38"/>
    <w:rsid w:val="006A1375"/>
    <w:rsid w:val="006B5059"/>
    <w:rsid w:val="006C1467"/>
    <w:rsid w:val="006C1BC0"/>
    <w:rsid w:val="006C72F0"/>
    <w:rsid w:val="006D0875"/>
    <w:rsid w:val="006D0C29"/>
    <w:rsid w:val="006D1ADC"/>
    <w:rsid w:val="006D572F"/>
    <w:rsid w:val="006D677F"/>
    <w:rsid w:val="006D7FE5"/>
    <w:rsid w:val="006E25EE"/>
    <w:rsid w:val="006E429D"/>
    <w:rsid w:val="006F7543"/>
    <w:rsid w:val="00703375"/>
    <w:rsid w:val="00705DEB"/>
    <w:rsid w:val="00720FFF"/>
    <w:rsid w:val="00721BAA"/>
    <w:rsid w:val="00732957"/>
    <w:rsid w:val="00734180"/>
    <w:rsid w:val="00735036"/>
    <w:rsid w:val="0074034F"/>
    <w:rsid w:val="00745E39"/>
    <w:rsid w:val="007517F0"/>
    <w:rsid w:val="00751DEB"/>
    <w:rsid w:val="00754AFE"/>
    <w:rsid w:val="00757008"/>
    <w:rsid w:val="00763169"/>
    <w:rsid w:val="00771EE9"/>
    <w:rsid w:val="0077575E"/>
    <w:rsid w:val="007804BC"/>
    <w:rsid w:val="00784649"/>
    <w:rsid w:val="00784E37"/>
    <w:rsid w:val="0079446D"/>
    <w:rsid w:val="00797E1F"/>
    <w:rsid w:val="007B7B4D"/>
    <w:rsid w:val="007C0518"/>
    <w:rsid w:val="007D395D"/>
    <w:rsid w:val="007D6A80"/>
    <w:rsid w:val="007E5202"/>
    <w:rsid w:val="007E5BF5"/>
    <w:rsid w:val="007F2E4C"/>
    <w:rsid w:val="00811D42"/>
    <w:rsid w:val="00812772"/>
    <w:rsid w:val="00815977"/>
    <w:rsid w:val="0083263B"/>
    <w:rsid w:val="00835C57"/>
    <w:rsid w:val="00836A19"/>
    <w:rsid w:val="008431B9"/>
    <w:rsid w:val="00847570"/>
    <w:rsid w:val="00851919"/>
    <w:rsid w:val="00856D37"/>
    <w:rsid w:val="008654BE"/>
    <w:rsid w:val="00874879"/>
    <w:rsid w:val="00875790"/>
    <w:rsid w:val="00875C95"/>
    <w:rsid w:val="00892347"/>
    <w:rsid w:val="008A48E2"/>
    <w:rsid w:val="008A645C"/>
    <w:rsid w:val="008B0087"/>
    <w:rsid w:val="008B2088"/>
    <w:rsid w:val="008B6B1D"/>
    <w:rsid w:val="008C4FCC"/>
    <w:rsid w:val="008D12A6"/>
    <w:rsid w:val="008D1DDB"/>
    <w:rsid w:val="008D2F50"/>
    <w:rsid w:val="008D434A"/>
    <w:rsid w:val="008D690D"/>
    <w:rsid w:val="008E2675"/>
    <w:rsid w:val="008E3B58"/>
    <w:rsid w:val="008E4683"/>
    <w:rsid w:val="008E52F0"/>
    <w:rsid w:val="009138F6"/>
    <w:rsid w:val="00914ED7"/>
    <w:rsid w:val="00915FB9"/>
    <w:rsid w:val="00924DA2"/>
    <w:rsid w:val="0093514A"/>
    <w:rsid w:val="009370F1"/>
    <w:rsid w:val="00945400"/>
    <w:rsid w:val="00946481"/>
    <w:rsid w:val="00967F88"/>
    <w:rsid w:val="00973D6B"/>
    <w:rsid w:val="00977C23"/>
    <w:rsid w:val="00986CFC"/>
    <w:rsid w:val="00991083"/>
    <w:rsid w:val="00994662"/>
    <w:rsid w:val="00997E88"/>
    <w:rsid w:val="009A331A"/>
    <w:rsid w:val="009B240C"/>
    <w:rsid w:val="009B5094"/>
    <w:rsid w:val="009B50A0"/>
    <w:rsid w:val="009B79D3"/>
    <w:rsid w:val="009C74CF"/>
    <w:rsid w:val="009D1095"/>
    <w:rsid w:val="009D3C36"/>
    <w:rsid w:val="009E5B7C"/>
    <w:rsid w:val="009F4815"/>
    <w:rsid w:val="00A038CB"/>
    <w:rsid w:val="00A103B9"/>
    <w:rsid w:val="00A10A22"/>
    <w:rsid w:val="00A31419"/>
    <w:rsid w:val="00A43607"/>
    <w:rsid w:val="00A46189"/>
    <w:rsid w:val="00A46BE1"/>
    <w:rsid w:val="00A56ED7"/>
    <w:rsid w:val="00A83892"/>
    <w:rsid w:val="00A83A6E"/>
    <w:rsid w:val="00A85416"/>
    <w:rsid w:val="00A9227A"/>
    <w:rsid w:val="00AA1101"/>
    <w:rsid w:val="00AA17D4"/>
    <w:rsid w:val="00AA1E3D"/>
    <w:rsid w:val="00AB7809"/>
    <w:rsid w:val="00AC0FDE"/>
    <w:rsid w:val="00AC1C40"/>
    <w:rsid w:val="00AC4727"/>
    <w:rsid w:val="00AD1D2B"/>
    <w:rsid w:val="00AD3EC8"/>
    <w:rsid w:val="00AE661B"/>
    <w:rsid w:val="00AE7E46"/>
    <w:rsid w:val="00AF198B"/>
    <w:rsid w:val="00AF24C3"/>
    <w:rsid w:val="00B023F6"/>
    <w:rsid w:val="00B0412B"/>
    <w:rsid w:val="00B14F9D"/>
    <w:rsid w:val="00B17C38"/>
    <w:rsid w:val="00B301AC"/>
    <w:rsid w:val="00B303B4"/>
    <w:rsid w:val="00B34CFD"/>
    <w:rsid w:val="00B40918"/>
    <w:rsid w:val="00B4127D"/>
    <w:rsid w:val="00B43CA5"/>
    <w:rsid w:val="00B45263"/>
    <w:rsid w:val="00B501FB"/>
    <w:rsid w:val="00B53084"/>
    <w:rsid w:val="00B6773A"/>
    <w:rsid w:val="00B74989"/>
    <w:rsid w:val="00B95F09"/>
    <w:rsid w:val="00B96ECC"/>
    <w:rsid w:val="00BA0E4A"/>
    <w:rsid w:val="00BA451E"/>
    <w:rsid w:val="00BA6F13"/>
    <w:rsid w:val="00BA7783"/>
    <w:rsid w:val="00BB0FF4"/>
    <w:rsid w:val="00BB7351"/>
    <w:rsid w:val="00BD4043"/>
    <w:rsid w:val="00BD5498"/>
    <w:rsid w:val="00BD7178"/>
    <w:rsid w:val="00BE02F7"/>
    <w:rsid w:val="00BE1A6D"/>
    <w:rsid w:val="00BE247C"/>
    <w:rsid w:val="00BE4BBF"/>
    <w:rsid w:val="00BE5E5D"/>
    <w:rsid w:val="00BF19AD"/>
    <w:rsid w:val="00BF5109"/>
    <w:rsid w:val="00C042C6"/>
    <w:rsid w:val="00C1438E"/>
    <w:rsid w:val="00C169AD"/>
    <w:rsid w:val="00C16D55"/>
    <w:rsid w:val="00C24D16"/>
    <w:rsid w:val="00C267FB"/>
    <w:rsid w:val="00C33916"/>
    <w:rsid w:val="00C41CB1"/>
    <w:rsid w:val="00C4584D"/>
    <w:rsid w:val="00C4626F"/>
    <w:rsid w:val="00C46BBF"/>
    <w:rsid w:val="00C47E6A"/>
    <w:rsid w:val="00C507AB"/>
    <w:rsid w:val="00C55F08"/>
    <w:rsid w:val="00C602FF"/>
    <w:rsid w:val="00C74784"/>
    <w:rsid w:val="00C747A6"/>
    <w:rsid w:val="00C765A2"/>
    <w:rsid w:val="00C80BAB"/>
    <w:rsid w:val="00C9485F"/>
    <w:rsid w:val="00CA04D8"/>
    <w:rsid w:val="00CA2EB3"/>
    <w:rsid w:val="00CA4EEB"/>
    <w:rsid w:val="00CB5F33"/>
    <w:rsid w:val="00CC01CE"/>
    <w:rsid w:val="00CC69C2"/>
    <w:rsid w:val="00CC758B"/>
    <w:rsid w:val="00CC7E60"/>
    <w:rsid w:val="00CD2466"/>
    <w:rsid w:val="00CD28FC"/>
    <w:rsid w:val="00CE3ED3"/>
    <w:rsid w:val="00D07476"/>
    <w:rsid w:val="00D2095A"/>
    <w:rsid w:val="00D3399E"/>
    <w:rsid w:val="00D40B67"/>
    <w:rsid w:val="00D454BB"/>
    <w:rsid w:val="00D47F73"/>
    <w:rsid w:val="00D76A01"/>
    <w:rsid w:val="00D80116"/>
    <w:rsid w:val="00D840F8"/>
    <w:rsid w:val="00D85272"/>
    <w:rsid w:val="00D87B8D"/>
    <w:rsid w:val="00D92330"/>
    <w:rsid w:val="00D95621"/>
    <w:rsid w:val="00D96434"/>
    <w:rsid w:val="00D965D6"/>
    <w:rsid w:val="00D97203"/>
    <w:rsid w:val="00DA033A"/>
    <w:rsid w:val="00DA291A"/>
    <w:rsid w:val="00DA48CB"/>
    <w:rsid w:val="00DA7CE3"/>
    <w:rsid w:val="00DB180E"/>
    <w:rsid w:val="00DB3CE7"/>
    <w:rsid w:val="00DB676B"/>
    <w:rsid w:val="00DC174C"/>
    <w:rsid w:val="00DD432C"/>
    <w:rsid w:val="00DE03D3"/>
    <w:rsid w:val="00DE5CCA"/>
    <w:rsid w:val="00DF08C9"/>
    <w:rsid w:val="00DF1E54"/>
    <w:rsid w:val="00DF628F"/>
    <w:rsid w:val="00DF735B"/>
    <w:rsid w:val="00E01346"/>
    <w:rsid w:val="00E07F01"/>
    <w:rsid w:val="00E14283"/>
    <w:rsid w:val="00E254C5"/>
    <w:rsid w:val="00E400EB"/>
    <w:rsid w:val="00E40AC1"/>
    <w:rsid w:val="00E460A7"/>
    <w:rsid w:val="00E50124"/>
    <w:rsid w:val="00E61818"/>
    <w:rsid w:val="00E65664"/>
    <w:rsid w:val="00E72933"/>
    <w:rsid w:val="00E76B0D"/>
    <w:rsid w:val="00E77E4D"/>
    <w:rsid w:val="00E91A47"/>
    <w:rsid w:val="00E961A4"/>
    <w:rsid w:val="00EA53CB"/>
    <w:rsid w:val="00EA734D"/>
    <w:rsid w:val="00EB2E4B"/>
    <w:rsid w:val="00EB46A1"/>
    <w:rsid w:val="00EB5B45"/>
    <w:rsid w:val="00EC4C17"/>
    <w:rsid w:val="00ED2090"/>
    <w:rsid w:val="00ED6BE0"/>
    <w:rsid w:val="00ED71C4"/>
    <w:rsid w:val="00EE4CE8"/>
    <w:rsid w:val="00EE5AA4"/>
    <w:rsid w:val="00EF13F9"/>
    <w:rsid w:val="00EF15A6"/>
    <w:rsid w:val="00EF27FC"/>
    <w:rsid w:val="00F009E0"/>
    <w:rsid w:val="00F02218"/>
    <w:rsid w:val="00F0305F"/>
    <w:rsid w:val="00F05C19"/>
    <w:rsid w:val="00F2012F"/>
    <w:rsid w:val="00F27C78"/>
    <w:rsid w:val="00F3304E"/>
    <w:rsid w:val="00F40240"/>
    <w:rsid w:val="00F61E35"/>
    <w:rsid w:val="00F73987"/>
    <w:rsid w:val="00F8687D"/>
    <w:rsid w:val="00F92303"/>
    <w:rsid w:val="00F95096"/>
    <w:rsid w:val="00F958E7"/>
    <w:rsid w:val="00F97E90"/>
    <w:rsid w:val="00F97FF2"/>
    <w:rsid w:val="00FA582B"/>
    <w:rsid w:val="00FB317E"/>
    <w:rsid w:val="00FC6640"/>
    <w:rsid w:val="00FC6BFE"/>
    <w:rsid w:val="00FD0574"/>
    <w:rsid w:val="00FD0CFF"/>
    <w:rsid w:val="00FD1DC5"/>
    <w:rsid w:val="00FD624F"/>
    <w:rsid w:val="00FD71F0"/>
    <w:rsid w:val="00FF1CD6"/>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2C821"/>
  <w15:chartTrackingRefBased/>
  <w15:docId w15:val="{15BEDAAA-D6C0-437F-968B-AB35EEA6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B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B67"/>
    <w:rPr>
      <w:rFonts w:ascii="Segoe UI" w:hAnsi="Segoe UI" w:cs="Segoe UI"/>
      <w:sz w:val="18"/>
      <w:szCs w:val="18"/>
    </w:rPr>
  </w:style>
  <w:style w:type="character" w:styleId="CommentReference">
    <w:name w:val="annotation reference"/>
    <w:basedOn w:val="DefaultParagraphFont"/>
    <w:uiPriority w:val="99"/>
    <w:semiHidden/>
    <w:unhideWhenUsed/>
    <w:rsid w:val="00D40B67"/>
    <w:rPr>
      <w:sz w:val="16"/>
      <w:szCs w:val="16"/>
    </w:rPr>
  </w:style>
  <w:style w:type="paragraph" w:styleId="CommentText">
    <w:name w:val="annotation text"/>
    <w:basedOn w:val="Normal"/>
    <w:link w:val="CommentTextChar"/>
    <w:uiPriority w:val="99"/>
    <w:semiHidden/>
    <w:unhideWhenUsed/>
    <w:rsid w:val="00D40B67"/>
    <w:pPr>
      <w:spacing w:line="240" w:lineRule="auto"/>
    </w:pPr>
    <w:rPr>
      <w:sz w:val="20"/>
      <w:szCs w:val="20"/>
    </w:rPr>
  </w:style>
  <w:style w:type="character" w:customStyle="1" w:styleId="CommentTextChar">
    <w:name w:val="Comment Text Char"/>
    <w:basedOn w:val="DefaultParagraphFont"/>
    <w:link w:val="CommentText"/>
    <w:uiPriority w:val="99"/>
    <w:semiHidden/>
    <w:rsid w:val="00D40B67"/>
    <w:rPr>
      <w:sz w:val="20"/>
      <w:szCs w:val="20"/>
    </w:rPr>
  </w:style>
  <w:style w:type="paragraph" w:styleId="CommentSubject">
    <w:name w:val="annotation subject"/>
    <w:basedOn w:val="CommentText"/>
    <w:next w:val="CommentText"/>
    <w:link w:val="CommentSubjectChar"/>
    <w:uiPriority w:val="99"/>
    <w:semiHidden/>
    <w:unhideWhenUsed/>
    <w:rsid w:val="00D40B67"/>
    <w:rPr>
      <w:b/>
      <w:bCs/>
    </w:rPr>
  </w:style>
  <w:style w:type="character" w:customStyle="1" w:styleId="CommentSubjectChar">
    <w:name w:val="Comment Subject Char"/>
    <w:basedOn w:val="CommentTextChar"/>
    <w:link w:val="CommentSubject"/>
    <w:uiPriority w:val="99"/>
    <w:semiHidden/>
    <w:rsid w:val="00D40B67"/>
    <w:rPr>
      <w:b/>
      <w:bCs/>
      <w:sz w:val="20"/>
      <w:szCs w:val="20"/>
    </w:rPr>
  </w:style>
  <w:style w:type="paragraph" w:styleId="Header">
    <w:name w:val="header"/>
    <w:basedOn w:val="Normal"/>
    <w:link w:val="HeaderChar"/>
    <w:uiPriority w:val="99"/>
    <w:unhideWhenUsed/>
    <w:rsid w:val="00BE0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2F7"/>
  </w:style>
  <w:style w:type="paragraph" w:styleId="Footer">
    <w:name w:val="footer"/>
    <w:basedOn w:val="Normal"/>
    <w:link w:val="FooterChar"/>
    <w:uiPriority w:val="99"/>
    <w:unhideWhenUsed/>
    <w:rsid w:val="00BE0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2F7"/>
  </w:style>
  <w:style w:type="character" w:styleId="Hyperlink">
    <w:name w:val="Hyperlink"/>
    <w:basedOn w:val="DefaultParagraphFont"/>
    <w:uiPriority w:val="99"/>
    <w:unhideWhenUsed/>
    <w:rsid w:val="001862CB"/>
    <w:rPr>
      <w:color w:val="0563C1" w:themeColor="hyperlink"/>
      <w:u w:val="none"/>
    </w:rPr>
  </w:style>
  <w:style w:type="character" w:styleId="FollowedHyperlink">
    <w:name w:val="FollowedHyperlink"/>
    <w:basedOn w:val="DefaultParagraphFont"/>
    <w:uiPriority w:val="99"/>
    <w:semiHidden/>
    <w:unhideWhenUsed/>
    <w:rsid w:val="003C5461"/>
    <w:rPr>
      <w:color w:val="954F72" w:themeColor="followedHyperlink"/>
      <w:u w:val="single"/>
    </w:rPr>
  </w:style>
  <w:style w:type="paragraph" w:styleId="ListParagraph">
    <w:name w:val="List Paragraph"/>
    <w:basedOn w:val="Normal"/>
    <w:uiPriority w:val="34"/>
    <w:qFormat/>
    <w:rsid w:val="00DB676B"/>
    <w:pPr>
      <w:ind w:left="720"/>
      <w:contextualSpacing/>
    </w:pPr>
  </w:style>
  <w:style w:type="character" w:customStyle="1" w:styleId="UnresolvedMention1">
    <w:name w:val="Unresolved Mention1"/>
    <w:basedOn w:val="DefaultParagraphFont"/>
    <w:uiPriority w:val="99"/>
    <w:semiHidden/>
    <w:unhideWhenUsed/>
    <w:rsid w:val="009B240C"/>
    <w:rPr>
      <w:color w:val="605E5C"/>
      <w:shd w:val="clear" w:color="auto" w:fill="E1DFDD"/>
    </w:rPr>
  </w:style>
  <w:style w:type="paragraph" w:customStyle="1" w:styleId="Pa23">
    <w:name w:val="Pa23"/>
    <w:basedOn w:val="Normal"/>
    <w:next w:val="Normal"/>
    <w:uiPriority w:val="99"/>
    <w:rsid w:val="006C72F0"/>
    <w:pPr>
      <w:autoSpaceDE w:val="0"/>
      <w:autoSpaceDN w:val="0"/>
      <w:adjustRightInd w:val="0"/>
      <w:spacing w:after="0" w:line="205" w:lineRule="atLeast"/>
    </w:pPr>
    <w:rPr>
      <w:rFonts w:ascii="MinionC" w:hAnsi="MinionC"/>
      <w:sz w:val="24"/>
      <w:szCs w:val="24"/>
    </w:rPr>
  </w:style>
  <w:style w:type="table" w:styleId="TableGrid">
    <w:name w:val="Table Grid"/>
    <w:basedOn w:val="TableNormal"/>
    <w:uiPriority w:val="39"/>
    <w:rsid w:val="00F86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60C60"/>
    <w:rPr>
      <w:color w:val="605E5C"/>
      <w:shd w:val="clear" w:color="auto" w:fill="E1DFDD"/>
    </w:rPr>
  </w:style>
  <w:style w:type="paragraph" w:styleId="FootnoteText">
    <w:name w:val="footnote text"/>
    <w:basedOn w:val="Normal"/>
    <w:link w:val="FootnoteTextChar"/>
    <w:uiPriority w:val="99"/>
    <w:semiHidden/>
    <w:unhideWhenUsed/>
    <w:rsid w:val="00260C60"/>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260C60"/>
    <w:rPr>
      <w:rFonts w:eastAsiaTheme="minorEastAsia"/>
      <w:sz w:val="20"/>
      <w:szCs w:val="20"/>
    </w:rPr>
  </w:style>
  <w:style w:type="character" w:styleId="FootnoteReference">
    <w:name w:val="footnote reference"/>
    <w:basedOn w:val="DefaultParagraphFont"/>
    <w:uiPriority w:val="99"/>
    <w:semiHidden/>
    <w:unhideWhenUsed/>
    <w:rsid w:val="00260C60"/>
    <w:rPr>
      <w:vertAlign w:val="superscript"/>
    </w:rPr>
  </w:style>
  <w:style w:type="paragraph" w:styleId="Revision">
    <w:name w:val="Revision"/>
    <w:hidden/>
    <w:uiPriority w:val="99"/>
    <w:semiHidden/>
    <w:rsid w:val="00054DF7"/>
    <w:pPr>
      <w:spacing w:after="0" w:line="240" w:lineRule="auto"/>
    </w:pPr>
  </w:style>
  <w:style w:type="character" w:customStyle="1" w:styleId="UnresolvedMention3">
    <w:name w:val="Unresolved Mention3"/>
    <w:basedOn w:val="DefaultParagraphFont"/>
    <w:uiPriority w:val="99"/>
    <w:semiHidden/>
    <w:unhideWhenUsed/>
    <w:rsid w:val="007C0518"/>
    <w:rPr>
      <w:color w:val="605E5C"/>
      <w:shd w:val="clear" w:color="auto" w:fill="E1DFDD"/>
    </w:rPr>
  </w:style>
  <w:style w:type="character" w:styleId="UnresolvedMention">
    <w:name w:val="Unresolved Mention"/>
    <w:basedOn w:val="DefaultParagraphFont"/>
    <w:uiPriority w:val="99"/>
    <w:semiHidden/>
    <w:unhideWhenUsed/>
    <w:rsid w:val="005F6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10555">
      <w:bodyDiv w:val="1"/>
      <w:marLeft w:val="0"/>
      <w:marRight w:val="0"/>
      <w:marTop w:val="0"/>
      <w:marBottom w:val="0"/>
      <w:divBdr>
        <w:top w:val="none" w:sz="0" w:space="0" w:color="auto"/>
        <w:left w:val="none" w:sz="0" w:space="0" w:color="auto"/>
        <w:bottom w:val="none" w:sz="0" w:space="0" w:color="auto"/>
        <w:right w:val="none" w:sz="0" w:space="0" w:color="auto"/>
      </w:divBdr>
      <w:divsChild>
        <w:div w:id="745612277">
          <w:marLeft w:val="0"/>
          <w:marRight w:val="0"/>
          <w:marTop w:val="0"/>
          <w:marBottom w:val="0"/>
          <w:divBdr>
            <w:top w:val="none" w:sz="0" w:space="0" w:color="auto"/>
            <w:left w:val="none" w:sz="0" w:space="0" w:color="auto"/>
            <w:bottom w:val="none" w:sz="0" w:space="0" w:color="auto"/>
            <w:right w:val="none" w:sz="0" w:space="0" w:color="auto"/>
          </w:divBdr>
        </w:div>
        <w:div w:id="980770256">
          <w:marLeft w:val="0"/>
          <w:marRight w:val="0"/>
          <w:marTop w:val="240"/>
          <w:marBottom w:val="0"/>
          <w:divBdr>
            <w:top w:val="none" w:sz="0" w:space="0" w:color="auto"/>
            <w:left w:val="none" w:sz="0" w:space="0" w:color="auto"/>
            <w:bottom w:val="none" w:sz="0" w:space="0" w:color="auto"/>
            <w:right w:val="none" w:sz="0" w:space="0" w:color="auto"/>
          </w:divBdr>
          <w:divsChild>
            <w:div w:id="121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1126">
      <w:bodyDiv w:val="1"/>
      <w:marLeft w:val="0"/>
      <w:marRight w:val="0"/>
      <w:marTop w:val="0"/>
      <w:marBottom w:val="0"/>
      <w:divBdr>
        <w:top w:val="none" w:sz="0" w:space="0" w:color="auto"/>
        <w:left w:val="none" w:sz="0" w:space="0" w:color="auto"/>
        <w:bottom w:val="none" w:sz="0" w:space="0" w:color="auto"/>
        <w:right w:val="none" w:sz="0" w:space="0" w:color="auto"/>
      </w:divBdr>
      <w:divsChild>
        <w:div w:id="1526867134">
          <w:marLeft w:val="0"/>
          <w:marRight w:val="0"/>
          <w:marTop w:val="0"/>
          <w:marBottom w:val="0"/>
          <w:divBdr>
            <w:top w:val="none" w:sz="0" w:space="0" w:color="auto"/>
            <w:left w:val="none" w:sz="0" w:space="0" w:color="auto"/>
            <w:bottom w:val="none" w:sz="0" w:space="0" w:color="auto"/>
            <w:right w:val="none" w:sz="0" w:space="0" w:color="auto"/>
          </w:divBdr>
        </w:div>
        <w:div w:id="1815026184">
          <w:marLeft w:val="0"/>
          <w:marRight w:val="0"/>
          <w:marTop w:val="240"/>
          <w:marBottom w:val="0"/>
          <w:divBdr>
            <w:top w:val="none" w:sz="0" w:space="0" w:color="auto"/>
            <w:left w:val="none" w:sz="0" w:space="0" w:color="auto"/>
            <w:bottom w:val="none" w:sz="0" w:space="0" w:color="auto"/>
            <w:right w:val="none" w:sz="0" w:space="0" w:color="auto"/>
          </w:divBdr>
          <w:divsChild>
            <w:div w:id="273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5020">
      <w:bodyDiv w:val="1"/>
      <w:marLeft w:val="0"/>
      <w:marRight w:val="0"/>
      <w:marTop w:val="0"/>
      <w:marBottom w:val="0"/>
      <w:divBdr>
        <w:top w:val="none" w:sz="0" w:space="0" w:color="auto"/>
        <w:left w:val="none" w:sz="0" w:space="0" w:color="auto"/>
        <w:bottom w:val="none" w:sz="0" w:space="0" w:color="auto"/>
        <w:right w:val="none" w:sz="0" w:space="0" w:color="auto"/>
      </w:divBdr>
      <w:divsChild>
        <w:div w:id="1590843845">
          <w:marLeft w:val="0"/>
          <w:marRight w:val="0"/>
          <w:marTop w:val="0"/>
          <w:marBottom w:val="0"/>
          <w:divBdr>
            <w:top w:val="none" w:sz="0" w:space="0" w:color="auto"/>
            <w:left w:val="none" w:sz="0" w:space="0" w:color="auto"/>
            <w:bottom w:val="none" w:sz="0" w:space="0" w:color="auto"/>
            <w:right w:val="none" w:sz="0" w:space="0" w:color="auto"/>
          </w:divBdr>
        </w:div>
        <w:div w:id="1925917463">
          <w:marLeft w:val="0"/>
          <w:marRight w:val="0"/>
          <w:marTop w:val="0"/>
          <w:marBottom w:val="0"/>
          <w:divBdr>
            <w:top w:val="none" w:sz="0" w:space="0" w:color="auto"/>
            <w:left w:val="none" w:sz="0" w:space="0" w:color="auto"/>
            <w:bottom w:val="none" w:sz="0" w:space="0" w:color="auto"/>
            <w:right w:val="none" w:sz="0" w:space="0" w:color="auto"/>
          </w:divBdr>
        </w:div>
        <w:div w:id="1944334943">
          <w:marLeft w:val="0"/>
          <w:marRight w:val="0"/>
          <w:marTop w:val="0"/>
          <w:marBottom w:val="0"/>
          <w:divBdr>
            <w:top w:val="none" w:sz="0" w:space="0" w:color="auto"/>
            <w:left w:val="none" w:sz="0" w:space="0" w:color="auto"/>
            <w:bottom w:val="none" w:sz="0" w:space="0" w:color="auto"/>
            <w:right w:val="none" w:sz="0" w:space="0" w:color="auto"/>
          </w:divBdr>
        </w:div>
        <w:div w:id="2101247888">
          <w:marLeft w:val="0"/>
          <w:marRight w:val="0"/>
          <w:marTop w:val="0"/>
          <w:marBottom w:val="0"/>
          <w:divBdr>
            <w:top w:val="none" w:sz="0" w:space="0" w:color="auto"/>
            <w:left w:val="none" w:sz="0" w:space="0" w:color="auto"/>
            <w:bottom w:val="none" w:sz="0" w:space="0" w:color="auto"/>
            <w:right w:val="none" w:sz="0" w:space="0" w:color="auto"/>
          </w:divBdr>
        </w:div>
        <w:div w:id="2135638714">
          <w:marLeft w:val="0"/>
          <w:marRight w:val="0"/>
          <w:marTop w:val="0"/>
          <w:marBottom w:val="0"/>
          <w:divBdr>
            <w:top w:val="none" w:sz="0" w:space="0" w:color="auto"/>
            <w:left w:val="none" w:sz="0" w:space="0" w:color="auto"/>
            <w:bottom w:val="none" w:sz="0" w:space="0" w:color="auto"/>
            <w:right w:val="none" w:sz="0" w:space="0" w:color="auto"/>
          </w:divBdr>
        </w:div>
      </w:divsChild>
    </w:div>
    <w:div w:id="131814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Link/Document/FullText?findType=L&amp;pubNum=1000546&amp;cite=17USCAS107&amp;originatingDoc=Ie92beaa004f911ec81429451ea631beb&amp;refType=LQ&amp;originationContext=document&amp;vr=3.0&amp;rs=cblt1.0&amp;transitionType=DocumentItem&amp;contextData=(sc.Default)" TargetMode="External"/><Relationship Id="rId299" Type="http://schemas.openxmlformats.org/officeDocument/2006/relationships/hyperlink" Target="https://www.congress.gov/bill/115th-congress/house-bill/1551/text" TargetMode="External"/><Relationship Id="rId303" Type="http://schemas.openxmlformats.org/officeDocument/2006/relationships/hyperlink" Target="http://www.westlaw.com/Link/Document/FullText?findType=L&amp;pubNum=1000546&amp;cite=17USCAS505&amp;originatingDoc=I7fd33bb73e6c11e9bbbcd57aa014637b&amp;refType=LQ&amp;originationContext=document&amp;vr=3.0&amp;rs=cblt1.0&amp;transitionType=DocumentItem&amp;contextData=(sc.Search)" TargetMode="External"/><Relationship Id="rId21" Type="http://schemas.openxmlformats.org/officeDocument/2006/relationships/image" Target="media/image4.png"/><Relationship Id="rId42" Type="http://schemas.openxmlformats.org/officeDocument/2006/relationships/hyperlink" Target="http://www.westlaw.com/Link/Document/FullText?findType=Y&amp;serNum=2027818223&amp;pubNum=0004637&amp;originatingDoc=Id3df6529961311ebbb10beece37c6119&amp;refType=RP&amp;fi=co_pp_sp_4637_977&amp;originationContext=document&amp;vr=3.0&amp;rs=cblt1.0&amp;transitionType=DocumentItem&amp;contextData=(sc.Default)" TargetMode="External"/><Relationship Id="rId63" Type="http://schemas.openxmlformats.org/officeDocument/2006/relationships/hyperlink" Target="http://www.westlaw.com/Link/Document/FullText?findType=Y&amp;serNum=0365399841&amp;pubNum=0184049&amp;originatingDoc=Id3df6529961311ebbb10beece37c6119&amp;refType=LR&amp;fi=co_pp_sp_184049_746&amp;originationContext=document&amp;vr=3.0&amp;rs=cblt1.0&amp;transitionType=DocumentItem&amp;contextData=(sc.Default)" TargetMode="External"/><Relationship Id="rId84" Type="http://schemas.openxmlformats.org/officeDocument/2006/relationships/hyperlink" Target="http://www.westlaw.com/Link/Document/FullText?findType=Y&amp;serNum=1995061748&amp;pubNum=0000506&amp;originatingDoc=Id3df6529961311ebbb10beece37c6119&amp;refType=RP&amp;fi=co_pp_sp_506_820&amp;originationContext=document&amp;vr=3.0&amp;rs=cblt1.0&amp;transitionType=DocumentItem&amp;contextData=(sc.Default)" TargetMode="External"/><Relationship Id="rId138" Type="http://schemas.openxmlformats.org/officeDocument/2006/relationships/hyperlink" Target="http://www.westlaw.com/Link/Document/FullText?findType=Y&amp;serNum=2009130467&amp;pubNum=0000506&amp;originatingDoc=Ie92beaa004f911ec81429451ea631beb&amp;refType=RP&amp;originationContext=document&amp;vr=3.0&amp;rs=cblt1.0&amp;transitionType=DocumentItem&amp;contextData=(sc.Default)" TargetMode="External"/><Relationship Id="rId159"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170" Type="http://schemas.openxmlformats.org/officeDocument/2006/relationships/hyperlink" Target="https://dockets.ccb.gov/search/cases" TargetMode="External"/><Relationship Id="rId191" Type="http://schemas.openxmlformats.org/officeDocument/2006/relationships/hyperlink" Target="http://www.westlaw.com/Link/Document/FullText?findType=L&amp;pubNum=1000468&amp;cite=GAST1-1-1&amp;originatingDoc=I781e23cf888511eaa154dedcbee99b91&amp;refType=LQ&amp;originationContext=document&amp;vr=3.0&amp;rs=cblt1.0&amp;transitionType=DocumentItem&amp;contextData=(sc.Default)" TargetMode="External"/><Relationship Id="rId205" Type="http://schemas.openxmlformats.org/officeDocument/2006/relationships/hyperlink" Target="http://www.westlaw.com/Link/Document/FullText?findType=Y&amp;serNum=1834197968&amp;pubNum=0000780&amp;originatingDoc=I781e23cf888511eaa154dedcbee99b91&amp;refType=RP&amp;originationContext=document&amp;vr=3.0&amp;rs=cblt1.0&amp;transitionType=DocumentItem&amp;contextData=(sc.Default)" TargetMode="External"/><Relationship Id="rId226"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47" Type="http://schemas.openxmlformats.org/officeDocument/2006/relationships/hyperlink" Target="http://www.westlaw.com/Link/Document/FullText?findType=Y&amp;serNum=1899147257&amp;pubNum=0000348&amp;originatingDoc=I781e23cf888511eaa154dedcbee99b91&amp;refType=RP&amp;originationContext=document&amp;vr=3.0&amp;rs=cblt1.0&amp;transitionType=DocumentItem&amp;contextData=(sc.Default)" TargetMode="External"/><Relationship Id="rId107" Type="http://schemas.openxmlformats.org/officeDocument/2006/relationships/image" Target="media/image9.jpeg"/><Relationship Id="rId268" Type="http://schemas.openxmlformats.org/officeDocument/2006/relationships/hyperlink" Target="http://www.westlaw.com/Link/Document/FullText?findType=L&amp;pubNum=1000468&amp;cite=GAST17-7-50&amp;originatingDoc=I781e23cf888511eaa154dedcbee99b91&amp;refType=LQ&amp;originationContext=document&amp;vr=3.0&amp;rs=cblt1.0&amp;transitionType=DocumentItem&amp;contextData=(sc.Default)" TargetMode="External"/><Relationship Id="rId289" Type="http://schemas.openxmlformats.org/officeDocument/2006/relationships/hyperlink" Target="https://www.soundexchange.com" TargetMode="External"/><Relationship Id="rId11" Type="http://schemas.openxmlformats.org/officeDocument/2006/relationships/hyperlink" Target="https://1.next.westlaw.com/Link/Document/FullText?cite=2017%20WL%203981311&amp;transitionType=Default&amp;contextData=(sc.Default)" TargetMode="External"/><Relationship Id="rId32" Type="http://schemas.openxmlformats.org/officeDocument/2006/relationships/hyperlink" Target="https://greatminds.org/terms-of-service" TargetMode="External"/><Relationship Id="rId53" Type="http://schemas.openxmlformats.org/officeDocument/2006/relationships/hyperlink" Target="http://www.westlaw.com/Link/Document/FullText?findType=Y&amp;serNum=2027818223&amp;pubNum=0004637&amp;originatingDoc=Id3df6529961311ebbb10beece37c6119&amp;refType=RP&amp;fi=co_pp_sp_4637_982&amp;originationContext=document&amp;vr=3.0&amp;rs=cblt1.0&amp;transitionType=DocumentItem&amp;contextData=(sc.Default)" TargetMode="External"/><Relationship Id="rId74" Type="http://schemas.openxmlformats.org/officeDocument/2006/relationships/hyperlink" Target="http://www.westlaw.com/Link/Document/FullText?findType=Y&amp;serNum=1994058334&amp;pubNum=0000708&amp;originatingDoc=Id3df6529961311ebbb10beece37c6119&amp;refType=RP&amp;originationContext=document&amp;vr=3.0&amp;rs=cblt1.0&amp;transitionType=DocumentItem&amp;contextData=(sc.Default)" TargetMode="External"/><Relationship Id="rId128" Type="http://schemas.openxmlformats.org/officeDocument/2006/relationships/hyperlink" Target="http://www.westlaw.com/Link/Document/FullText?findType=Y&amp;serNum=2030422816&amp;pubNum=0000506&amp;originatingDoc=Ie92beaa004f911ec81429451ea631beb&amp;refType=RP&amp;fi=co_pp_sp_506_711&amp;originationContext=document&amp;vr=3.0&amp;rs=cblt1.0&amp;transitionType=DocumentItem&amp;contextData=(sc.Default)" TargetMode="External"/><Relationship Id="rId149" Type="http://schemas.openxmlformats.org/officeDocument/2006/relationships/hyperlink" Target="http://www.westlaw.com/Link/Document/FullText?findType=Y&amp;serNum=1992068198&amp;pubNum=0000350&amp;originatingDoc=Ie92beaa004f911ec81429451ea631beb&amp;refType=RP&amp;fi=co_pp_sp_350_309&amp;originationContext=document&amp;vr=3.0&amp;rs=cblt1.0&amp;transitionType=DocumentItem&amp;contextData=(sc.Default)" TargetMode="Externa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westlaw.com/Link/Document/FullText?findType=Y&amp;serNum=1985125844&amp;pubNum=0000780&amp;originatingDoc=Id3df6529961311ebbb10beece37c6119&amp;refType=RP&amp;fi=co_pp_sp_780_565&amp;originationContext=document&amp;vr=3.0&amp;rs=cblt1.0&amp;transitionType=DocumentItem&amp;contextData=(sc.Default)" TargetMode="External"/><Relationship Id="rId160" Type="http://schemas.openxmlformats.org/officeDocument/2006/relationships/hyperlink" Target="http://www.westlaw.com/Link/Document/FullText?findType=Y&amp;serNum=2030422816&amp;pubNum=0000506&amp;originatingDoc=Ie92beaa004f911ec81429451ea631beb&amp;refType=RP&amp;fi=co_pp_sp_506_711&amp;originationContext=document&amp;vr=3.0&amp;rs=cblt1.0&amp;transitionType=DocumentItem&amp;contextData=(sc.Default)" TargetMode="External"/><Relationship Id="rId181" Type="http://schemas.openxmlformats.org/officeDocument/2006/relationships/hyperlink" Target="http://lawschool.westlaw.com/shared/westlawRedirect.aspx?task=find&amp;cite=139+S.Ct.+881&amp;appflag=67.12" TargetMode="External"/><Relationship Id="rId216" Type="http://schemas.openxmlformats.org/officeDocument/2006/relationships/hyperlink" Target="http://www.westlaw.com/Link/Document/FullText?findType=Y&amp;serNum=1886008810&amp;pubNum=0000577&amp;originatingDoc=I781e23cf888511eaa154dedcbee99b91&amp;refType=RP&amp;fi=co_pp_sp_577_560&amp;originationContext=document&amp;vr=3.0&amp;rs=cblt1.0&amp;transitionType=DocumentItem&amp;contextData=(sc.Default)" TargetMode="External"/><Relationship Id="rId237" Type="http://schemas.openxmlformats.org/officeDocument/2006/relationships/hyperlink" Target="http://www.westlaw.com/Link/Document/FullText?findType=L&amp;pubNum=1000468&amp;cite=GAST21-2-131&amp;originatingDoc=I781e23cf888511eaa154dedcbee99b91&amp;refType=LQ&amp;originationContext=document&amp;vr=3.0&amp;rs=cblt1.0&amp;transitionType=DocumentItem&amp;contextData=(sc.Default)" TargetMode="External"/><Relationship Id="rId258" Type="http://schemas.openxmlformats.org/officeDocument/2006/relationships/hyperlink" Target="http://www.westlaw.com/Link/Document/FullText?findType=Y&amp;serNum=1888180264&amp;originatingDoc=I781e23cf888511eaa154dedcbee99b91&amp;refType=RP&amp;originationContext=document&amp;vr=3.0&amp;rs=cblt1.0&amp;transitionType=DocumentItem&amp;contextData=(sc.Default)" TargetMode="External"/><Relationship Id="rId279" Type="http://schemas.openxmlformats.org/officeDocument/2006/relationships/hyperlink" Target="https://twitter.com/RealBobManning/status/749323081953533952" TargetMode="External"/><Relationship Id="rId22" Type="http://schemas.openxmlformats.org/officeDocument/2006/relationships/hyperlink" Target="http://www.robertbrauneis.net/copyrightbook/leibovitzvparamount1.htm" TargetMode="External"/><Relationship Id="rId43" Type="http://schemas.openxmlformats.org/officeDocument/2006/relationships/hyperlink" Target="http://www.westlaw.com/Link/Document/FullText?findType=Y&amp;serNum=2044162681&amp;pubNum=0000506&amp;originatingDoc=Id3df6529961311ebbb10beece37c6119&amp;refType=RP&amp;fi=co_pp_sp_506_1186&amp;originationContext=document&amp;vr=3.0&amp;rs=cblt1.0&amp;transitionType=DocumentItem&amp;contextData=(sc.Default)" TargetMode="External"/><Relationship Id="rId64" Type="http://schemas.openxmlformats.org/officeDocument/2006/relationships/hyperlink" Target="http://www.westlaw.com/Link/Document/FullText?findType=Y&amp;serNum=1994058334&amp;pubNum=0000780&amp;originatingDoc=Id3df6529961311ebbb10beece37c6119&amp;refType=RP&amp;originationContext=document&amp;vr=3.0&amp;rs=cblt1.0&amp;transitionType=DocumentItem&amp;contextData=(sc.Default)" TargetMode="External"/><Relationship Id="rId118" Type="http://schemas.openxmlformats.org/officeDocument/2006/relationships/hyperlink" Target="http://www.westlaw.com/Link/Document/FullText?findType=L&amp;pubNum=1000546&amp;cite=17USCAS107&amp;originatingDoc=Ie92beaa004f911ec81429451ea631beb&amp;refType=LQ&amp;originationContext=document&amp;vr=3.0&amp;rs=cblt1.0&amp;transitionType=DocumentItem&amp;contextData=(sc.Default)" TargetMode="External"/><Relationship Id="rId139" Type="http://schemas.openxmlformats.org/officeDocument/2006/relationships/hyperlink" Target="http://www.westlaw.com/Link/Document/FullText?findType=Y&amp;serNum=2009130467&amp;pubNum=0000506&amp;originatingDoc=Ie92beaa004f911ec81429451ea631beb&amp;refType=RP&amp;fi=co_pp_sp_506_609&amp;originationContext=document&amp;vr=3.0&amp;rs=cblt1.0&amp;transitionType=DocumentItem&amp;contextData=(sc.Default)" TargetMode="External"/><Relationship Id="rId290" Type="http://schemas.openxmlformats.org/officeDocument/2006/relationships/hyperlink" Target="https://www.soundexchange.com/service-provider/" TargetMode="External"/><Relationship Id="rId304" Type="http://schemas.openxmlformats.org/officeDocument/2006/relationships/hyperlink" Target="https://1.next.westlaw.com/Link/Document/FullText?findType=Y&amp;serNum=2041193413&amp;pubNum=0000708&amp;originatingDoc=I2bec2d00c9a311e7b3adfa6a631648d5&amp;refType=RP&amp;originationContext=document&amp;transitionType=DocumentItem&amp;contextData=(sc.Search)" TargetMode="External"/><Relationship Id="rId85" Type="http://schemas.openxmlformats.org/officeDocument/2006/relationships/hyperlink" Target="http://www.westlaw.com/Link/Document/FullText?findType=L&amp;pubNum=1000546&amp;cite=17USCAS107&amp;originatingDoc=Id3df6529961311ebbb10beece37c6119&amp;refType=LQ&amp;originationContext=document&amp;vr=3.0&amp;rs=cblt1.0&amp;transitionType=DocumentItem&amp;contextData=(sc.Default)" TargetMode="External"/><Relationship Id="rId150" Type="http://schemas.openxmlformats.org/officeDocument/2006/relationships/hyperlink" Target="http://www.westlaw.com/Link/Document/FullText?findType=Y&amp;serNum=1992068198&amp;pubNum=0000350&amp;originatingDoc=Ie92beaa004f911ec81429451ea631beb&amp;refType=RP&amp;fi=co_pp_sp_350_310&amp;originationContext=document&amp;vr=3.0&amp;rs=cblt1.0&amp;transitionType=DocumentItem&amp;contextData=(sc.Default)" TargetMode="External"/><Relationship Id="rId171" Type="http://schemas.openxmlformats.org/officeDocument/2006/relationships/hyperlink" Target="https://dockets.ccb.gov/claim/view/33" TargetMode="External"/><Relationship Id="rId192" Type="http://schemas.openxmlformats.org/officeDocument/2006/relationships/hyperlink" Target="http://www.westlaw.com/Link/Document/FullText?findType=Y&amp;serNum=1834197968&amp;pubNum=0000780&amp;originatingDoc=I781e23cf888511eaa154dedcbee99b91&amp;refType=RP&amp;originationContext=document&amp;vr=3.0&amp;rs=cblt1.0&amp;transitionType=DocumentItem&amp;contextData=(sc.Default)" TargetMode="External"/><Relationship Id="rId206"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27" Type="http://schemas.openxmlformats.org/officeDocument/2006/relationships/hyperlink" Target="http://www.westlaw.com/Link/Document/FullText?findType=L&amp;pubNum=1000546&amp;cite=17USCAS201&amp;originatingDoc=I781e23cf888511eaa154dedcbee99b91&amp;refType=RB&amp;originationContext=document&amp;vr=3.0&amp;rs=cblt1.0&amp;transitionType=DocumentItem&amp;contextData=(sc.Default)" TargetMode="External"/><Relationship Id="rId248"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69" Type="http://schemas.openxmlformats.org/officeDocument/2006/relationships/hyperlink" Target="http://www.westlaw.com/Link/Document/FullText?findType=L&amp;pubNum=1000468&amp;cite=GAST1-1-7&amp;originatingDoc=I781e23cf888511eaa154dedcbee99b91&amp;refType=LQ&amp;originationContext=document&amp;vr=3.0&amp;rs=cblt1.0&amp;transitionType=DocumentItem&amp;contextData=(sc.Default)" TargetMode="External"/><Relationship Id="rId12" Type="http://schemas.openxmlformats.org/officeDocument/2006/relationships/hyperlink" Target="https://www.nytimes.com/2018/01/26/business/media/we-shall-overcome-copyright.html" TargetMode="External"/><Relationship Id="rId33" Type="http://schemas.openxmlformats.org/officeDocument/2006/relationships/hyperlink" Target="https://greatminds.org/terms-of-service" TargetMode="External"/><Relationship Id="rId108" Type="http://schemas.openxmlformats.org/officeDocument/2006/relationships/image" Target="media/image10.png"/><Relationship Id="rId129"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280" Type="http://schemas.openxmlformats.org/officeDocument/2006/relationships/hyperlink" Target="https://twitter.com/RealBobManning/status/749323081953533952" TargetMode="External"/><Relationship Id="rId54" Type="http://schemas.openxmlformats.org/officeDocument/2006/relationships/hyperlink" Target="http://www.westlaw.com/Link/Document/FullText?findType=Y&amp;serNum=2027818223&amp;pubNum=0004637&amp;originatingDoc=Id3df6529961311ebbb10beece37c6119&amp;refType=RP&amp;fi=co_pp_sp_4637_978&amp;originationContext=document&amp;vr=3.0&amp;rs=cblt1.0&amp;transitionType=DocumentItem&amp;contextData=(sc.Default)" TargetMode="External"/><Relationship Id="rId75" Type="http://schemas.openxmlformats.org/officeDocument/2006/relationships/hyperlink" Target="http://www.westlaw.com/Link/Document/FullText?findType=Y&amp;serNum=1994058334&amp;pubNum=0000708&amp;originatingDoc=Id3df6529961311ebbb10beece37c6119&amp;refType=RP&amp;originationContext=document&amp;vr=3.0&amp;rs=cblt1.0&amp;transitionType=DocumentItem&amp;contextData=(sc.Default)" TargetMode="External"/><Relationship Id="rId96" Type="http://schemas.openxmlformats.org/officeDocument/2006/relationships/hyperlink" Target="http://www.westlaw.com/Link/Document/FullText?findType=Y&amp;serNum=1994058334&amp;pubNum=0000780&amp;originatingDoc=Id3df6529961311ebbb10beece37c6119&amp;refType=RP&amp;fi=co_pp_sp_780_586&amp;originationContext=document&amp;vr=3.0&amp;rs=cblt1.0&amp;transitionType=DocumentItem&amp;contextData=(sc.Default)" TargetMode="External"/><Relationship Id="rId140" Type="http://schemas.openxmlformats.org/officeDocument/2006/relationships/hyperlink" Target="http://www.westlaw.com/Link/Document/FullText?findType=Y&amp;serNum=2033553689&amp;pubNum=0000506&amp;originatingDoc=Ie92beaa004f911ec81429451ea631beb&amp;refType=RP&amp;originationContext=document&amp;vr=3.0&amp;rs=cblt1.0&amp;transitionType=DocumentItem&amp;contextData=(sc.Default)" TargetMode="External"/><Relationship Id="rId161"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182" Type="http://schemas.openxmlformats.org/officeDocument/2006/relationships/hyperlink" Target="http://www.westlaw.com/Link/Document/FullText?findType=L&amp;pubNum=1000547&amp;cite=37CFRS202.3&amp;originatingDoc=I1b6f5f34956211ecb9c4afdeb0323b27&amp;refType=RB&amp;originationContext=document&amp;vr=3.0&amp;rs=cblt1.0&amp;transitionType=DocumentItem&amp;contextData=(sc.Default)#co_pp_6ad60000aeea7" TargetMode="External"/><Relationship Id="rId217"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6" Type="http://schemas.openxmlformats.org/officeDocument/2006/relationships/footnotes" Target="footnotes.xml"/><Relationship Id="rId238" Type="http://schemas.openxmlformats.org/officeDocument/2006/relationships/hyperlink" Target="http://www.westlaw.com/Link/Document/FullText?findType=L&amp;pubNum=1000468&amp;cite=GAST16-6-18&amp;originatingDoc=I781e23cf888511eaa154dedcbee99b91&amp;refType=LQ&amp;originationContext=document&amp;vr=3.0&amp;rs=cblt1.0&amp;transitionType=DocumentItem&amp;contextData=(sc.Default)" TargetMode="External"/><Relationship Id="rId259" Type="http://schemas.openxmlformats.org/officeDocument/2006/relationships/hyperlink" Target="http://www.westlaw.com/Link/Document/FullText?findType=h&amp;pubNum=176284&amp;cite=0224420501&amp;originatingDoc=I781e23cf888511eaa154dedcbee99b91&amp;refType=RQ&amp;originationContext=document&amp;vr=3.0&amp;rs=cblt1.0&amp;transitionType=DocumentItem&amp;contextData=(sc.Default)" TargetMode="External"/><Relationship Id="rId23" Type="http://schemas.openxmlformats.org/officeDocument/2006/relationships/hyperlink" Target="http://www.robertbrauneis.net/copyrightbook/leibovitzvparamount1.htm" TargetMode="External"/><Relationship Id="rId119"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270" Type="http://schemas.openxmlformats.org/officeDocument/2006/relationships/hyperlink" Target="https://archive.org/search.php?query=subject%3A%22Official+Code+of+Georgia+Annotated%22" TargetMode="External"/><Relationship Id="rId291" Type="http://schemas.openxmlformats.org/officeDocument/2006/relationships/hyperlink" Target="https://www.crb.gov/" TargetMode="External"/><Relationship Id="rId305" Type="http://schemas.openxmlformats.org/officeDocument/2006/relationships/hyperlink" Target="https://1.next.westlaw.com/Link/Document/FullText?findType=Y&amp;serNum=2040736272&amp;pubNum=0000506&amp;originatingDoc=I2bec2d00c9a311e7b3adfa6a631648d5&amp;refType=RP&amp;originationContext=document&amp;transitionType=DocumentItem&amp;contextData=(sc.Search)" TargetMode="External"/><Relationship Id="rId44" Type="http://schemas.openxmlformats.org/officeDocument/2006/relationships/hyperlink" Target="http://www.westlaw.com/Link/Document/FullText?findType=Y&amp;serNum=2044162681&amp;pubNum=0000506&amp;originatingDoc=Id3df6529961311ebbb10beece37c6119&amp;refType=RP&amp;fi=co_pp_sp_506_1187&amp;originationContext=document&amp;vr=3.0&amp;rs=cblt1.0&amp;transitionType=DocumentItem&amp;contextData=(sc.Default)" TargetMode="External"/><Relationship Id="rId65" Type="http://schemas.openxmlformats.org/officeDocument/2006/relationships/hyperlink" Target="http://www.westlaw.com/Link/Document/FullText?findType=Y&amp;serNum=1994058334&amp;pubNum=0000780&amp;originatingDoc=Id3df6529961311ebbb10beece37c6119&amp;refType=RP&amp;fi=co_pp_sp_780_580&amp;originationContext=document&amp;vr=3.0&amp;rs=cblt1.0&amp;transitionType=DocumentItem&amp;contextData=(sc.Default)" TargetMode="External"/><Relationship Id="rId86" Type="http://schemas.openxmlformats.org/officeDocument/2006/relationships/hyperlink" Target="http://www.westlaw.com/Link/Document/FullText?findType=h&amp;pubNum=176284&amp;cite=0505709001&amp;originatingDoc=Id3df6529961311ebbb10beece37c6119&amp;refType=RQ&amp;originationContext=document&amp;vr=3.0&amp;rs=cblt1.0&amp;transitionType=DocumentItem&amp;contextData=(sc.Default)" TargetMode="External"/><Relationship Id="rId130"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151" Type="http://schemas.openxmlformats.org/officeDocument/2006/relationships/hyperlink" Target="http://www.westlaw.com/Link/Document/FullText?findType=Y&amp;serNum=2048603632&amp;pubNum=0007903&amp;originatingDoc=Ie92beaa004f911ec81429451ea631beb&amp;refType=RP&amp;fi=co_pp_sp_7903_326&amp;originationContext=document&amp;vr=3.0&amp;rs=cblt1.0&amp;transitionType=DocumentItem&amp;contextData=(sc.Default)" TargetMode="External"/><Relationship Id="rId172" Type="http://schemas.openxmlformats.org/officeDocument/2006/relationships/hyperlink" Target="https://ccb.gov/handbook/Service.pdf" TargetMode="External"/><Relationship Id="rId193" Type="http://schemas.openxmlformats.org/officeDocument/2006/relationships/hyperlink" Target="http://www.westlaw.com/Link/Document/FullText?findType=Y&amp;serNum=1834197968&amp;pubNum=0000780&amp;originatingDoc=I781e23cf888511eaa154dedcbee99b91&amp;refType=RP&amp;fi=co_pp_sp_780_617&amp;originationContext=document&amp;vr=3.0&amp;rs=cblt1.0&amp;transitionType=DocumentItem&amp;contextData=(sc.Default)" TargetMode="External"/><Relationship Id="rId207" Type="http://schemas.openxmlformats.org/officeDocument/2006/relationships/hyperlink" Target="http://www.westlaw.com/Link/Document/FullText?findType=Y&amp;serNum=1834197968&amp;pubNum=0000780&amp;originatingDoc=I781e23cf888511eaa154dedcbee99b91&amp;refType=RP&amp;originationContext=document&amp;vr=3.0&amp;rs=cblt1.0&amp;transitionType=DocumentItem&amp;contextData=(sc.Default)" TargetMode="External"/><Relationship Id="rId228" Type="http://schemas.openxmlformats.org/officeDocument/2006/relationships/hyperlink" Target="http://www.westlaw.com/Link/Document/FullText?findType=L&amp;pubNum=1000468&amp;cite=GAST1-1-1&amp;originatingDoc=I781e23cf888511eaa154dedcbee99b91&amp;refType=LQ&amp;originationContext=document&amp;vr=3.0&amp;rs=cblt1.0&amp;transitionType=DocumentItem&amp;contextData=(sc.Default)" TargetMode="External"/><Relationship Id="rId249" Type="http://schemas.openxmlformats.org/officeDocument/2006/relationships/hyperlink" Target="http://www.westlaw.com/Link/Document/FullText?findType=Y&amp;serNum=1888180281&amp;pubNum=0000780&amp;originatingDoc=I781e23cf888511eaa154dedcbee99b91&amp;refType=RP&amp;originationContext=document&amp;vr=3.0&amp;rs=cblt1.0&amp;transitionType=DocumentItem&amp;contextData=(sc.Default)" TargetMode="External"/><Relationship Id="rId13" Type="http://schemas.openxmlformats.org/officeDocument/2006/relationships/image" Target="media/image1.jpeg"/><Relationship Id="rId109" Type="http://schemas.openxmlformats.org/officeDocument/2006/relationships/hyperlink" Target="http://www.westlaw.com/Link/Document/Blob/I825991c005cf11ec96e9bc77c7a6afc6.png?originationContext=document&amp;vr=3.0&amp;rs=cblt1.0&amp;transitionType=DocumentImage&amp;contextData=(sc.Default)" TargetMode="External"/><Relationship Id="rId260" Type="http://schemas.openxmlformats.org/officeDocument/2006/relationships/hyperlink" Target="http://www.westlaw.com/Link/Document/FullText?findType=h&amp;pubNum=176284&amp;cite=0254766801&amp;originatingDoc=I781e23cf888511eaa154dedcbee99b91&amp;refType=RQ&amp;originationContext=document&amp;vr=3.0&amp;rs=cblt1.0&amp;transitionType=DocumentItem&amp;contextData=(sc.Default)" TargetMode="External"/><Relationship Id="rId281" Type="http://schemas.openxmlformats.org/officeDocument/2006/relationships/image" Target="media/image19.png"/><Relationship Id="rId34" Type="http://schemas.openxmlformats.org/officeDocument/2006/relationships/hyperlink" Target="http://lawschool.westlaw.com/shared/westlawRedirect.aspx?task=find&amp;cite=886+F.3d+91&amp;appflag=67.12" TargetMode="External"/><Relationship Id="rId55" Type="http://schemas.openxmlformats.org/officeDocument/2006/relationships/hyperlink" Target="http://www.westlaw.com/Link/Document/FullText?findType=Y&amp;serNum=2044162681&amp;pubNum=0000506&amp;originatingDoc=Id3df6529961311ebbb10beece37c6119&amp;refType=RP&amp;fi=co_pp_sp_506_1187&amp;originationContext=document&amp;vr=3.0&amp;rs=cblt1.0&amp;transitionType=DocumentItem&amp;contextData=(sc.Default)" TargetMode="External"/><Relationship Id="rId76" Type="http://schemas.openxmlformats.org/officeDocument/2006/relationships/hyperlink" Target="http://www.westlaw.com/Link/Document/FullText?findType=Y&amp;serNum=1982121999&amp;pubNum=0000350&amp;originatingDoc=Id3df6529961311ebbb10beece37c6119&amp;refType=RP&amp;fi=co_pp_sp_350_183&amp;originationContext=document&amp;vr=3.0&amp;rs=cblt1.0&amp;transitionType=DocumentItem&amp;contextData=(sc.Default)" TargetMode="External"/><Relationship Id="rId97" Type="http://schemas.openxmlformats.org/officeDocument/2006/relationships/hyperlink" Target="http://www.westlaw.com/Link/Document/FullText?findType=Y&amp;serNum=1994058334&amp;pubNum=0000780&amp;originatingDoc=Id3df6529961311ebbb10beece37c6119&amp;refType=RP&amp;fi=co_pp_sp_780_587&amp;originationContext=document&amp;vr=3.0&amp;rs=cblt1.0&amp;transitionType=DocumentItem&amp;contextData=(sc.Default)" TargetMode="External"/><Relationship Id="rId120" Type="http://schemas.openxmlformats.org/officeDocument/2006/relationships/hyperlink" Target="http://www.westlaw.com/Link/Document/FullText?findType=Y&amp;serNum=2030422816&amp;pubNum=0000506&amp;originatingDoc=Ie92beaa004f911ec81429451ea631beb&amp;refType=RP&amp;fi=co_pp_sp_506_706&amp;originationContext=document&amp;vr=3.0&amp;rs=cblt1.0&amp;transitionType=DocumentItem&amp;contextData=(sc.Default)" TargetMode="External"/><Relationship Id="rId141" Type="http://schemas.openxmlformats.org/officeDocument/2006/relationships/hyperlink" Target="http://www.westlaw.com/Link/Document/FullText?findType=Y&amp;serNum=2033553689&amp;pubNum=0000506&amp;originatingDoc=Ie92beaa004f911ec81429451ea631beb&amp;refType=RP&amp;fi=co_pp_sp_506_97&amp;originationContext=document&amp;vr=3.0&amp;rs=cblt1.0&amp;transitionType=DocumentItem&amp;contextData=(sc.Default)" TargetMode="External"/><Relationship Id="rId7" Type="http://schemas.openxmlformats.org/officeDocument/2006/relationships/endnotes" Target="endnotes.xml"/><Relationship Id="rId162" Type="http://schemas.openxmlformats.org/officeDocument/2006/relationships/hyperlink" Target="https://screenrant.com/movie-adaptations-completely-different-from-books-big-changes/" TargetMode="External"/><Relationship Id="rId183" Type="http://schemas.openxmlformats.org/officeDocument/2006/relationships/hyperlink" Target="http://lawschool.westlaw.com/shared/westlawRedirect.aspx?task=find&amp;cite=953+F.3d+638&amp;appflag=67.12" TargetMode="External"/><Relationship Id="rId218" Type="http://schemas.openxmlformats.org/officeDocument/2006/relationships/hyperlink" Target="http://www.westlaw.com/Link/Document/FullText?findType=Y&amp;serNum=1888180264&amp;pubNum=0000708&amp;originatingDoc=I781e23cf888511eaa154dedcbee99b91&amp;refType=RP&amp;originationContext=document&amp;vr=3.0&amp;rs=cblt1.0&amp;transitionType=DocumentItem&amp;contextData=(sc.Default)" TargetMode="External"/><Relationship Id="rId239" Type="http://schemas.openxmlformats.org/officeDocument/2006/relationships/hyperlink" Target="http://www.westlaw.com/Link/Document/FullText?findType=L&amp;pubNum=1000468&amp;cite=GAST16-15-9&amp;originatingDoc=I781e23cf888511eaa154dedcbee99b91&amp;refType=LQ&amp;originationContext=document&amp;vr=3.0&amp;rs=cblt1.0&amp;transitionType=DocumentItem&amp;contextData=(sc.Default)" TargetMode="External"/><Relationship Id="rId250" Type="http://schemas.openxmlformats.org/officeDocument/2006/relationships/hyperlink" Target="http://www.westlaw.com/Link/Document/FullText?findType=L&amp;pubNum=1000468&amp;cite=GAST34-9-260&amp;originatingDoc=I781e23cf888511eaa154dedcbee99b91&amp;refType=LQ&amp;originationContext=document&amp;vr=3.0&amp;rs=cblt1.0&amp;transitionType=DocumentItem&amp;contextData=(sc.Default)" TargetMode="External"/><Relationship Id="rId271" Type="http://schemas.openxmlformats.org/officeDocument/2006/relationships/hyperlink" Target="https://1.next.westlaw.com/Document/I15df5e8089e011e8a5b89e7029628dd3/View/FullText.html?navigationPath=%2FFoldering%2Fv3%2Fres2000west%2Fhistory%2Fitems%2FdocumentNavigation%2F3010bbb9-ee67-4751-b3e1-c6601c294d4c%2FtXhF75B4urg158w69EBEnvaSiqkc%7Cw51VdtureqS1Gu8B9zNXukEue4VR3mB08Q%60XvRVJDmNIjganz%7CMJZTqhNTpe1UM8OMY&amp;listSource=Foldering&amp;list=historyDocuments&amp;rank=3&amp;sessionScopeId=54f35f8bfc300baca66acb60c8f3f53e3675674a8f361ca235c205a74d70215f&amp;originationContext=MyResearchHistoryAll&amp;transitionType=MyResearchHistoryItem&amp;contextData=%28oc.Search%29&amp;VR=3.0&amp;RS=cblt1.0" TargetMode="External"/><Relationship Id="rId292" Type="http://schemas.openxmlformats.org/officeDocument/2006/relationships/hyperlink" Target="https://www.midiaresearch.com/blog/2018-global-label-market-share-stream-engine/" TargetMode="External"/><Relationship Id="rId306" Type="http://schemas.openxmlformats.org/officeDocument/2006/relationships/hyperlink" Target="https://1.next.westlaw.com/Link/Document/FullText?findType=Y&amp;serNum=2036581001&amp;pubNum=0000506&amp;originatingDoc=I2bec2d00c9a311e7b3adfa6a631648d5&amp;refType=RP&amp;fi=co_pp_sp_506_596&amp;originationContext=document&amp;transitionType=DocumentItem&amp;contextData=(sc.Search)" TargetMode="External"/><Relationship Id="rId24" Type="http://schemas.openxmlformats.org/officeDocument/2006/relationships/image" Target="media/image5.jpeg"/><Relationship Id="rId45" Type="http://schemas.openxmlformats.org/officeDocument/2006/relationships/hyperlink" Target="http://www.westlaw.com/Link/Document/FullText?findType=Y&amp;serNum=2033357469&amp;pubNum=0000506&amp;originatingDoc=Id3df6529961311ebbb10beece37c6119&amp;refType=RP&amp;fi=co_pp_sp_506_1349&amp;originationContext=document&amp;vr=3.0&amp;rs=cblt1.0&amp;transitionType=DocumentItem&amp;contextData=(sc.Default)" TargetMode="External"/><Relationship Id="rId66" Type="http://schemas.openxmlformats.org/officeDocument/2006/relationships/hyperlink" Target="http://www.westlaw.com/Link/Document/FullText?findType=L&amp;pubNum=1000546&amp;cite=17USCAS107&amp;originatingDoc=Id3df6529961311ebbb10beece37c6119&amp;refType=RB&amp;originationContext=document&amp;vr=3.0&amp;rs=cblt1.0&amp;transitionType=DocumentItem&amp;contextData=(sc.Default)" TargetMode="External"/><Relationship Id="rId87" Type="http://schemas.openxmlformats.org/officeDocument/2006/relationships/hyperlink" Target="http://www.westlaw.com/Link/Document/FullText?findType=h&amp;pubNum=176284&amp;cite=0216654601&amp;originatingDoc=Id3df6529961311ebbb10beece37c6119&amp;refType=RQ&amp;originationContext=document&amp;vr=3.0&amp;rs=cblt1.0&amp;transitionType=DocumentItem&amp;contextData=(sc.Default)" TargetMode="External"/><Relationship Id="rId110" Type="http://schemas.openxmlformats.org/officeDocument/2006/relationships/image" Target="media/image11.png"/><Relationship Id="rId131" Type="http://schemas.openxmlformats.org/officeDocument/2006/relationships/hyperlink" Target="http://www.westlaw.com/Link/Document/FullText?findType=Y&amp;serNum=1994058334&amp;pubNum=0000780&amp;originatingDoc=Ie92beaa004f911ec81429451ea631beb&amp;refType=RP&amp;fi=co_pp_sp_780_579&amp;originationContext=document&amp;vr=3.0&amp;rs=cblt1.0&amp;transitionType=DocumentItem&amp;contextData=(sc.Default)" TargetMode="External"/><Relationship Id="rId61" Type="http://schemas.openxmlformats.org/officeDocument/2006/relationships/hyperlink" Target="http://www.westlaw.com/Link/Document/FullText?findType=Y&amp;serNum=1994058334&amp;pubNum=0000708&amp;originatingDoc=Id3df6529961311ebbb10beece37c6119&amp;refType=RP&amp;fi=co_pp_sp_708_579&amp;originationContext=document&amp;vr=3.0&amp;rs=cblt1.0&amp;transitionType=DocumentItem&amp;contextData=(sc.Default)" TargetMode="External"/><Relationship Id="rId82" Type="http://schemas.openxmlformats.org/officeDocument/2006/relationships/hyperlink" Target="http://www.westlaw.com/Link/Document/FullText?findType=Y&amp;serNum=2005389526&amp;pubNum=0000506&amp;originatingDoc=Id3df6529961311ebbb10beece37c6119&amp;refType=RP&amp;fi=co_pp_sp_506_544&amp;originationContext=document&amp;vr=3.0&amp;rs=cblt1.0&amp;transitionType=DocumentItem&amp;contextData=(sc.Default)" TargetMode="External"/><Relationship Id="rId152" Type="http://schemas.openxmlformats.org/officeDocument/2006/relationships/hyperlink" Target="http://www.westlaw.com/Link/Document/FullText?findType=Y&amp;serNum=2030422816&amp;pubNum=0000506&amp;originatingDoc=Ie92beaa004f911ec81429451ea631beb&amp;refType=RP&amp;fi=co_pp_sp_506_706&amp;originationContext=document&amp;vr=3.0&amp;rs=cblt1.0&amp;transitionType=DocumentItem&amp;contextData=(sc.Default)" TargetMode="External"/><Relationship Id="rId173" Type="http://schemas.openxmlformats.org/officeDocument/2006/relationships/hyperlink" Target="https://ccb.gov/libraries-archives-opt-out/" TargetMode="External"/><Relationship Id="rId194" Type="http://schemas.openxmlformats.org/officeDocument/2006/relationships/hyperlink" Target="http://www.westlaw.com/Link/Document/FullText?findType=Y&amp;serNum=1834197968&amp;pubNum=0000780&amp;originatingDoc=I781e23cf888511eaa154dedcbee99b91&amp;refType=RP&amp;fi=co_pp_sp_780_615&amp;originationContext=document&amp;vr=3.0&amp;rs=cblt1.0&amp;transitionType=DocumentItem&amp;contextData=(sc.Default)" TargetMode="External"/><Relationship Id="rId199" Type="http://schemas.openxmlformats.org/officeDocument/2006/relationships/hyperlink" Target="http://www.westlaw.com/Link/Document/FullText?findType=Y&amp;serNum=1888180264&amp;pubNum=0000708&amp;originatingDoc=I781e23cf888511eaa154dedcbee99b91&amp;refType=RP&amp;originationContext=document&amp;vr=3.0&amp;rs=cblt1.0&amp;transitionType=DocumentItem&amp;contextData=(sc.Default)" TargetMode="External"/><Relationship Id="rId203" Type="http://schemas.openxmlformats.org/officeDocument/2006/relationships/hyperlink" Target="http://www.westlaw.com/Link/Document/FullText?findType=Y&amp;serNum=1886008810&amp;pubNum=0000577&amp;originatingDoc=I781e23cf888511eaa154dedcbee99b91&amp;refType=RP&amp;originationContext=document&amp;vr=3.0&amp;rs=cblt1.0&amp;transitionType=DocumentItem&amp;contextData=(sc.Default)" TargetMode="External"/><Relationship Id="rId208"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29"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19" Type="http://schemas.openxmlformats.org/officeDocument/2006/relationships/image" Target="media/image3.png"/><Relationship Id="rId224" Type="http://schemas.openxmlformats.org/officeDocument/2006/relationships/hyperlink" Target="http://www.westlaw.com/Link/Document/FullText?findType=Y&amp;serNum=1888180281&amp;pubNum=0000780&amp;originatingDoc=I781e23cf888511eaa154dedcbee99b91&amp;refType=RP&amp;originationContext=document&amp;vr=3.0&amp;rs=cblt1.0&amp;transitionType=DocumentItem&amp;contextData=(sc.Default)" TargetMode="External"/><Relationship Id="rId240" Type="http://schemas.openxmlformats.org/officeDocument/2006/relationships/hyperlink" Target="http://www.westlaw.com/Link/Document/FullText?findType=L&amp;pubNum=1000468&amp;cite=GAST21-2-131&amp;originatingDoc=I781e23cf888511eaa154dedcbee99b91&amp;refType=LQ&amp;originationContext=document&amp;vr=3.0&amp;rs=cblt1.0&amp;transitionType=DocumentItem&amp;contextData=(sc.Default)" TargetMode="External"/><Relationship Id="rId245" Type="http://schemas.openxmlformats.org/officeDocument/2006/relationships/hyperlink" Target="http://www.westlaw.com/Link/Document/FullText?findType=h&amp;pubNum=176284&amp;cite=0153052401&amp;originatingDoc=I781e23cf888511eaa154dedcbee99b91&amp;refType=RQ&amp;originationContext=document&amp;vr=3.0&amp;rs=cblt1.0&amp;transitionType=DocumentItem&amp;contextData=(sc.Default)" TargetMode="External"/><Relationship Id="rId261" Type="http://schemas.openxmlformats.org/officeDocument/2006/relationships/hyperlink" Target="http://www.westlaw.com/Link/Document/FullText?findType=Y&amp;serNum=1888180281&amp;pubNum=0000780&amp;originatingDoc=I781e23cf888511eaa154dedcbee99b91&amp;refType=RP&amp;fi=co_pp_sp_780_645&amp;originationContext=document&amp;vr=3.0&amp;rs=cblt1.0&amp;transitionType=DocumentItem&amp;contextData=(sc.Default)" TargetMode="External"/><Relationship Id="rId266" Type="http://schemas.openxmlformats.org/officeDocument/2006/relationships/hyperlink" Target="http://www.westlaw.com/Link/Document/FullText?findType=Y&amp;serNum=1923120352&amp;pubNum=0000780&amp;originatingDoc=I781e23cf888511eaa154dedcbee99b91&amp;refType=RP&amp;fi=co_pp_sp_780_488&amp;originationContext=document&amp;vr=3.0&amp;rs=cblt1.0&amp;transitionType=DocumentItem&amp;contextData=(sc.Default)" TargetMode="External"/><Relationship Id="rId287" Type="http://schemas.openxmlformats.org/officeDocument/2006/relationships/hyperlink" Target="https://www.riaa.com/wp-content/uploads/2019/02/RIAA-2018-Year-End-Music-Industry-Revenue-Report.pdf" TargetMode="External"/><Relationship Id="rId14" Type="http://schemas.openxmlformats.org/officeDocument/2006/relationships/hyperlink" Target="http://www.robertbrauneis.net/copyrightbook/arecententrancetoparadise.htm" TargetMode="External"/><Relationship Id="rId30" Type="http://schemas.openxmlformats.org/officeDocument/2006/relationships/image" Target="media/image6.png"/><Relationship Id="rId35" Type="http://schemas.openxmlformats.org/officeDocument/2006/relationships/hyperlink" Target="http://lawschool.westlaw.com/shared/westlawRedirect.aspx?task=find&amp;cite=883+F.3d+169&amp;appflag=67.12" TargetMode="External"/><Relationship Id="rId56" Type="http://schemas.openxmlformats.org/officeDocument/2006/relationships/hyperlink" Target="http://www.westlaw.com/Link/Document/FullText?findType=L&amp;pubNum=1000546&amp;cite=17USCAS101&amp;originatingDoc=Id3df6529961311ebbb10beece37c6119&amp;refType=LQ&amp;originationContext=document&amp;vr=3.0&amp;rs=cblt1.0&amp;transitionType=DocumentItem&amp;contextData=(sc.Default)" TargetMode="External"/><Relationship Id="rId77" Type="http://schemas.openxmlformats.org/officeDocument/2006/relationships/hyperlink" Target="http://www.westlaw.com/Link/Document/FullText?findType=Y&amp;serNum=2044162681&amp;pubNum=0000506&amp;originatingDoc=Id3df6529961311ebbb10beece37c6119&amp;refType=RP&amp;fi=co_pp_sp_506_1209&amp;originationContext=document&amp;vr=3.0&amp;rs=cblt1.0&amp;transitionType=DocumentItem&amp;contextData=(sc.Default)" TargetMode="External"/><Relationship Id="rId100" Type="http://schemas.openxmlformats.org/officeDocument/2006/relationships/hyperlink" Target="https://www.bls.gov/oes/current/oes272011.htm" TargetMode="External"/><Relationship Id="rId105" Type="http://schemas.openxmlformats.org/officeDocument/2006/relationships/hyperlink" Target="http://www.westlaw.com/Link/Document/FullText?findType=Y&amp;serNum=2030422816&amp;pubNum=0000506&amp;originatingDoc=Ie92beaa004f911ec81429451ea631beb&amp;refType=RP&amp;fi=co_pp_sp_506_706&amp;originationContext=document&amp;vr=3.0&amp;rs=cblt1.0&amp;transitionType=DocumentItem&amp;contextData=(sc.Default)" TargetMode="External"/><Relationship Id="rId126"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147" Type="http://schemas.openxmlformats.org/officeDocument/2006/relationships/hyperlink" Target="http://www.westlaw.com/Link/Document/FullText?findType=Y&amp;serNum=2053376261&amp;pubNum=0000708&amp;originatingDoc=Ie92beaa004f911ec81429451ea631beb&amp;refType=RP&amp;fi=co_pp_sp_708_1204&amp;originationContext=document&amp;vr=3.0&amp;rs=cblt1.0&amp;transitionType=DocumentItem&amp;contextData=(sc.Default)" TargetMode="External"/><Relationship Id="rId168" Type="http://schemas.openxmlformats.org/officeDocument/2006/relationships/image" Target="media/image14.png"/><Relationship Id="rId282" Type="http://schemas.openxmlformats.org/officeDocument/2006/relationships/hyperlink" Target="https://www.sealegacy.org/pages/face-of-climate-change" TargetMode="External"/><Relationship Id="rId312" Type="http://schemas.openxmlformats.org/officeDocument/2006/relationships/footer" Target="footer1.xml"/><Relationship Id="rId8" Type="http://schemas.openxmlformats.org/officeDocument/2006/relationships/hyperlink" Target="https://www.ali.org/publications/show/copyright/" TargetMode="External"/><Relationship Id="rId51" Type="http://schemas.openxmlformats.org/officeDocument/2006/relationships/hyperlink" Target="http://www.westlaw.com/Link/Document/FullText?findType=Y&amp;serNum=2027818223&amp;pubNum=0004637&amp;originatingDoc=Id3df6529961311ebbb10beece37c6119&amp;refType=RP&amp;fi=co_pp_sp_4637_979&amp;originationContext=document&amp;vr=3.0&amp;rs=cblt1.0&amp;transitionType=DocumentItem&amp;contextData=(sc.Default)" TargetMode="External"/><Relationship Id="rId72" Type="http://schemas.openxmlformats.org/officeDocument/2006/relationships/hyperlink" Target="http://www.westlaw.com/Link/Document/FullText?findType=Y&amp;serNum=1994058334&amp;pubNum=0000780&amp;originatingDoc=Id3df6529961311ebbb10beece37c6119&amp;refType=RP&amp;fi=co_pp_sp_780_591&amp;originationContext=document&amp;vr=3.0&amp;rs=cblt1.0&amp;transitionType=DocumentItem&amp;contextData=(sc.Default)" TargetMode="External"/><Relationship Id="rId93" Type="http://schemas.openxmlformats.org/officeDocument/2006/relationships/hyperlink" Target="http://www.westlaw.com/Link/Document/FullText?findType=Y&amp;serNum=1994058334&amp;pubNum=0000780&amp;originatingDoc=Id3df6529961311ebbb10beece37c6119&amp;refType=RP&amp;fi=co_pp_sp_780_578&amp;originationContext=document&amp;vr=3.0&amp;rs=cblt1.0&amp;transitionType=DocumentItem&amp;contextData=(sc.Default)" TargetMode="External"/><Relationship Id="rId98" Type="http://schemas.openxmlformats.org/officeDocument/2006/relationships/hyperlink" Target="https://qr.ae/pGbKc7" TargetMode="External"/><Relationship Id="rId121" Type="http://schemas.openxmlformats.org/officeDocument/2006/relationships/hyperlink" Target="http://www.westlaw.com/Link/Document/FullText?findType=Y&amp;serNum=2053376261&amp;pubNum=0000708&amp;originatingDoc=Ie92beaa004f911ec81429451ea631beb&amp;refType=RP&amp;fi=co_pp_sp_708_1196&amp;originationContext=document&amp;vr=3.0&amp;rs=cblt1.0&amp;transitionType=DocumentItem&amp;contextData=(sc.Default)" TargetMode="External"/><Relationship Id="rId142" Type="http://schemas.openxmlformats.org/officeDocument/2006/relationships/hyperlink" Target="http://www.westlaw.com/Link/Document/FullText?findType=Y&amp;serNum=2033553689&amp;pubNum=0000506&amp;originatingDoc=Ie92beaa004f911ec81429451ea631beb&amp;refType=RP&amp;originationContext=document&amp;vr=3.0&amp;rs=cblt1.0&amp;transitionType=DocumentItem&amp;contextData=(sc.Default)" TargetMode="External"/><Relationship Id="rId163" Type="http://schemas.openxmlformats.org/officeDocument/2006/relationships/image" Target="media/image12.png"/><Relationship Id="rId184" Type="http://schemas.openxmlformats.org/officeDocument/2006/relationships/hyperlink" Target="http://www.westlaw.com/Link/Document/FullText?findType=h&amp;pubNum=176284&amp;cite=0258116001&amp;originatingDoc=I781e23cf888511eaa154dedcbee99b91&amp;refType=RQ&amp;originationContext=document&amp;vr=3.0&amp;rs=cblt1.0&amp;transitionType=DocumentItem&amp;contextData=(sc.Default)" TargetMode="External"/><Relationship Id="rId189" Type="http://schemas.openxmlformats.org/officeDocument/2006/relationships/hyperlink" Target="http://www.westlaw.com/Link/Document/FullText?findType=L&amp;pubNum=1000468&amp;cite=GAST28-9-2&amp;originatingDoc=I781e23cf888511eaa154dedcbee99b91&amp;refType=SP&amp;originationContext=document&amp;vr=3.0&amp;rs=cblt1.0&amp;transitionType=DocumentItem&amp;contextData=(sc.Default)" TargetMode="External"/><Relationship Id="rId219"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3" Type="http://schemas.openxmlformats.org/officeDocument/2006/relationships/styles" Target="styles.xml"/><Relationship Id="rId214"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30" Type="http://schemas.openxmlformats.org/officeDocument/2006/relationships/hyperlink" Target="http://www.westlaw.com/Link/Document/FullText?findType=Y&amp;serNum=1979146768&amp;pubNum=0000711&amp;originatingDoc=I781e23cf888511eaa154dedcbee99b91&amp;refType=RP&amp;fi=co_pp_sp_711_34&amp;originationContext=document&amp;vr=3.0&amp;rs=cblt1.0&amp;transitionType=DocumentItem&amp;contextData=(sc.Default)" TargetMode="External"/><Relationship Id="rId235" Type="http://schemas.openxmlformats.org/officeDocument/2006/relationships/hyperlink" Target="http://www.westlaw.com/Link/Document/FullText?findType=Y&amp;serNum=1948118397&amp;pubNum=0000780&amp;originatingDoc=I781e23cf888511eaa154dedcbee99b91&amp;refType=RP&amp;fi=co_pp_sp_780_16&amp;originationContext=document&amp;vr=3.0&amp;rs=cblt1.0&amp;transitionType=DocumentItem&amp;contextData=(sc.Default)" TargetMode="External"/><Relationship Id="rId251" Type="http://schemas.openxmlformats.org/officeDocument/2006/relationships/hyperlink" Target="http://www.westlaw.com/Link/Document/FullText?findType=Y&amp;serNum=2032827110&amp;pubNum=0000711&amp;originatingDoc=I781e23cf888511eaa154dedcbee99b91&amp;refType=RP&amp;originationContext=document&amp;vr=3.0&amp;rs=cblt1.0&amp;transitionType=DocumentItem&amp;contextData=(sc.Default)" TargetMode="External"/><Relationship Id="rId256" Type="http://schemas.openxmlformats.org/officeDocument/2006/relationships/hyperlink" Target="http://www.westlaw.com/Link/Document/FullText?findType=L&amp;pubNum=1000546&amp;cite=17USCAS101&amp;originatingDoc=I781e23cf888511eaa154dedcbee99b91&amp;refType=LQ&amp;originationContext=document&amp;vr=3.0&amp;rs=cblt1.0&amp;transitionType=DocumentItem&amp;contextData=(sc.Default)" TargetMode="External"/><Relationship Id="rId277" Type="http://schemas.openxmlformats.org/officeDocument/2006/relationships/hyperlink" Target="https://therealdeal.com/2020/07/19/jerry-wolkoff-prolific-new-york-developer-dies-at-83/" TargetMode="External"/><Relationship Id="rId298" Type="http://schemas.openxmlformats.org/officeDocument/2006/relationships/hyperlink" Target="https://www.govinfo.gov/content/pkg/FR-2019-07-08/pdf/2019-14376.pdf" TargetMode="External"/><Relationship Id="rId25" Type="http://schemas.openxmlformats.org/officeDocument/2006/relationships/hyperlink" Target="https://1.next.westlaw.com/Document/I3fb38fb09da011e7ae06bb6d796f727f/View/FullText.html?transitionType=UniqueDocItem&amp;contextData=(sc.Keycite)&amp;userEnteredCitation=279+F.Supp.3d+497" TargetMode="External"/><Relationship Id="rId46" Type="http://schemas.openxmlformats.org/officeDocument/2006/relationships/hyperlink" Target="http://www.robertbrauneis.net/copyrightbook/googlevoracleappendixa.htm" TargetMode="External"/><Relationship Id="rId67" Type="http://schemas.openxmlformats.org/officeDocument/2006/relationships/hyperlink" Target="http://www.westlaw.com/Link/Document/FullText?findType=Y&amp;serNum=1991060551&amp;pubNum=0000780&amp;originatingDoc=Id3df6529961311ebbb10beece37c6119&amp;refType=RP&amp;fi=co_pp_sp_780_349&amp;originationContext=document&amp;vr=3.0&amp;rs=cblt1.0&amp;transitionType=DocumentItem&amp;contextData=(sc.Default)" TargetMode="External"/><Relationship Id="rId116" Type="http://schemas.openxmlformats.org/officeDocument/2006/relationships/hyperlink" Target="http://www.westlaw.com/Link/Document/FullText?findType=Y&amp;serNum=1994058334&amp;pubNum=0000780&amp;originatingDoc=Ie92beaa004f911ec81429451ea631beb&amp;refType=RP&amp;fi=co_pp_sp_780_582&amp;originationContext=document&amp;vr=3.0&amp;rs=cblt1.0&amp;transitionType=DocumentItem&amp;contextData=(sc.Default)" TargetMode="External"/><Relationship Id="rId137" Type="http://schemas.openxmlformats.org/officeDocument/2006/relationships/hyperlink" Target="http://www.westlaw.com/Link/Document/FullText?findType=Y&amp;serNum=2053376261&amp;pubNum=0000708&amp;originatingDoc=Ie92beaa004f911ec81429451ea631beb&amp;refType=RP&amp;fi=co_pp_sp_708_1204&amp;originationContext=document&amp;vr=3.0&amp;rs=cblt1.0&amp;transitionType=DocumentItem&amp;contextData=(sc.Default)" TargetMode="External"/><Relationship Id="rId158" Type="http://schemas.openxmlformats.org/officeDocument/2006/relationships/hyperlink" Target="http://www.westlaw.com/Link/Document/FullText?findType=Y&amp;serNum=2048603632&amp;pubNum=0007903&amp;originatingDoc=Ie92beaa004f911ec81429451ea631beb&amp;refType=RP&amp;fi=co_pp_sp_7903_326&amp;originationContext=document&amp;vr=3.0&amp;rs=cblt1.0&amp;transitionType=DocumentItem&amp;contextData=(sc.Default)" TargetMode="External"/><Relationship Id="rId272" Type="http://schemas.openxmlformats.org/officeDocument/2006/relationships/image" Target="media/image15.png"/><Relationship Id="rId293" Type="http://schemas.openxmlformats.org/officeDocument/2006/relationships/hyperlink" Target="https://www.bloombergquint.com/onweb/record-labels-reap-more-than-1-billion-selling-spotify-stakes" TargetMode="External"/><Relationship Id="rId302" Type="http://schemas.openxmlformats.org/officeDocument/2006/relationships/hyperlink" Target="http://www.westlaw.com/Link/Document/FullText?findType=L&amp;pubNum=1000546&amp;cite=28USCAS1920&amp;originatingDoc=I7fd33bb73e6c11e9bbbcd57aa014637b&amp;refType=LQ&amp;originationContext=document&amp;vr=3.0&amp;rs=cblt1.0&amp;transitionType=DocumentItem&amp;contextData=(sc.Search)" TargetMode="External"/><Relationship Id="rId307" Type="http://schemas.openxmlformats.org/officeDocument/2006/relationships/hyperlink" Target="https://1.next.westlaw.com/Link/Document/FullText?findType=Y&amp;serNum=1997037235&amp;pubNum=0000506&amp;originatingDoc=I2bec2d00c9a311e7b3adfa6a631648d5&amp;refType=RP&amp;fi=co_pp_sp_506_1463&amp;originationContext=document&amp;transitionType=DocumentItem&amp;contextData=(sc.Search)" TargetMode="External"/><Relationship Id="rId20" Type="http://schemas.openxmlformats.org/officeDocument/2006/relationships/hyperlink" Target="http://lawschool.westlaw.com/shared/westlawRedirect.aspx?task=find&amp;cite=137+F.3d+109&amp;appflag=67.12" TargetMode="External"/><Relationship Id="rId41" Type="http://schemas.openxmlformats.org/officeDocument/2006/relationships/hyperlink" Target="http://www.westlaw.com/Link/Document/FullText?findType=Y&amp;serNum=2027818223&amp;pubNum=0004637&amp;originatingDoc=Id3df6529961311ebbb10beece37c6119&amp;refType=RP&amp;fi=co_pp_sp_4637_975&amp;originationContext=document&amp;vr=3.0&amp;rs=cblt1.0&amp;transitionType=DocumentItem&amp;contextData=(sc.Default)" TargetMode="External"/><Relationship Id="rId62" Type="http://schemas.openxmlformats.org/officeDocument/2006/relationships/hyperlink" Target="http://www.westlaw.com/Link/Document/FullText?findType=Y&amp;serNum=1994058334&amp;pubNum=0000780&amp;originatingDoc=Id3df6529961311ebbb10beece37c6119&amp;refType=RP&amp;fi=co_pp_sp_780_579&amp;originationContext=document&amp;vr=3.0&amp;rs=cblt1.0&amp;transitionType=DocumentItem&amp;contextData=(sc.Default)" TargetMode="External"/><Relationship Id="rId83" Type="http://schemas.openxmlformats.org/officeDocument/2006/relationships/hyperlink" Target="http://www.westlaw.com/Link/Document/FullText?findType=Y&amp;serNum=1985125844&amp;pubNum=0000780&amp;originatingDoc=Id3df6529961311ebbb10beece37c6119&amp;refType=RP&amp;fi=co_pp_sp_780_558&amp;originationContext=document&amp;vr=3.0&amp;rs=cblt1.0&amp;transitionType=DocumentItem&amp;contextData=(sc.Default)" TargetMode="External"/><Relationship Id="rId88" Type="http://schemas.openxmlformats.org/officeDocument/2006/relationships/hyperlink" Target="http://www.westlaw.com/Link/Document/FullText?findType=h&amp;pubNum=176284&amp;cite=0153052401&amp;originatingDoc=Id3df6529961311ebbb10beece37c6119&amp;refType=RQ&amp;originationContext=document&amp;vr=3.0&amp;rs=cblt1.0&amp;transitionType=DocumentItem&amp;contextData=(sc.Default)" TargetMode="External"/><Relationship Id="rId111" Type="http://schemas.openxmlformats.org/officeDocument/2006/relationships/hyperlink" Target="http://www.westlaw.com/Link/Document/FullText?findType=L&amp;pubNum=1000546&amp;cite=17USCAS106&amp;originatingDoc=Ie92beaa004f911ec81429451ea631beb&amp;refType=LQ&amp;originationContext=document&amp;vr=3.0&amp;rs=cblt1.0&amp;transitionType=DocumentItem&amp;contextData=(sc.Default)" TargetMode="External"/><Relationship Id="rId132" Type="http://schemas.openxmlformats.org/officeDocument/2006/relationships/hyperlink" Target="http://www.westlaw.com/Link/Document/FullText?findType=L&amp;pubNum=1000546&amp;cite=17USCAS101&amp;originatingDoc=Ie92beaa004f911ec81429451ea631beb&amp;refType=LQ&amp;originationContext=document&amp;vr=3.0&amp;rs=cblt1.0&amp;transitionType=DocumentItem&amp;contextData=(sc.Default)" TargetMode="External"/><Relationship Id="rId153" Type="http://schemas.openxmlformats.org/officeDocument/2006/relationships/hyperlink" Target="http://www.westlaw.com/Link/Document/FullText?findType=Y&amp;serNum=2030422816&amp;pubNum=0000506&amp;originatingDoc=Ie92beaa004f911ec81429451ea631beb&amp;refType=RP&amp;fi=co_pp_sp_506_710&amp;originationContext=document&amp;vr=3.0&amp;rs=cblt1.0&amp;transitionType=DocumentItem&amp;contextData=(sc.Default)" TargetMode="External"/><Relationship Id="rId174" Type="http://schemas.openxmlformats.org/officeDocument/2006/relationships/hyperlink" Target="https://www.ccb.gov/" TargetMode="External"/><Relationship Id="rId179" Type="http://schemas.openxmlformats.org/officeDocument/2006/relationships/hyperlink" Target="http://tiny.cc/3200vy" TargetMode="External"/><Relationship Id="rId195" Type="http://schemas.openxmlformats.org/officeDocument/2006/relationships/hyperlink" Target="http://www.westlaw.com/Link/Document/FullText?findType=Y&amp;serNum=1834197968&amp;pubNum=0000780&amp;originatingDoc=I781e23cf888511eaa154dedcbee99b91&amp;refType=RP&amp;fi=co_pp_sp_780_614&amp;originationContext=document&amp;vr=3.0&amp;rs=cblt1.0&amp;transitionType=DocumentItem&amp;contextData=(sc.Default)" TargetMode="External"/><Relationship Id="rId209" Type="http://schemas.openxmlformats.org/officeDocument/2006/relationships/hyperlink" Target="http://www.westlaw.com/Link/Document/FullText?findType=Y&amp;serNum=1888180281&amp;pubNum=0000780&amp;originatingDoc=I781e23cf888511eaa154dedcbee99b91&amp;refType=RP&amp;fi=co_pp_sp_780_645&amp;originationContext=document&amp;vr=3.0&amp;rs=cblt1.0&amp;transitionType=DocumentItem&amp;contextData=(sc.Default)" TargetMode="External"/><Relationship Id="rId190" Type="http://schemas.openxmlformats.org/officeDocument/2006/relationships/hyperlink" Target="http://www.westlaw.com/Link/Document/FullText?findType=Y&amp;serNum=1979146768&amp;pubNum=0000711&amp;originatingDoc=I781e23cf888511eaa154dedcbee99b91&amp;refType=RP&amp;fi=co_pp_sp_711_34&amp;originationContext=document&amp;vr=3.0&amp;rs=cblt1.0&amp;transitionType=DocumentItem&amp;contextData=(sc.Default)" TargetMode="External"/><Relationship Id="rId204" Type="http://schemas.openxmlformats.org/officeDocument/2006/relationships/hyperlink" Target="http://www.westlaw.com/Link/Document/FullText?findType=Y&amp;serNum=1888180281&amp;pubNum=0000708&amp;originatingDoc=I781e23cf888511eaa154dedcbee99b91&amp;refType=RP&amp;originationContext=document&amp;vr=3.0&amp;rs=cblt1.0&amp;transitionType=DocumentItem&amp;contextData=(sc.Default)" TargetMode="External"/><Relationship Id="rId220"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25"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241" Type="http://schemas.openxmlformats.org/officeDocument/2006/relationships/hyperlink" Target="http://www.westlaw.com/Link/Document/FullText?findType=L&amp;pubNum=1000468&amp;cite=GAST16-6-2&amp;originatingDoc=I781e23cf888511eaa154dedcbee99b91&amp;refType=LQ&amp;originationContext=document&amp;vr=3.0&amp;rs=cblt1.0&amp;transitionType=DocumentItem&amp;contextData=(sc.Default)" TargetMode="External"/><Relationship Id="rId246" Type="http://schemas.openxmlformats.org/officeDocument/2006/relationships/hyperlink" Target="http://www.westlaw.com/Link/Document/FullText?findType=h&amp;pubNum=176284&amp;cite=0254766801&amp;originatingDoc=I781e23cf888511eaa154dedcbee99b91&amp;refType=RQ&amp;originationContext=document&amp;vr=3.0&amp;rs=cblt1.0&amp;transitionType=DocumentItem&amp;contextData=(sc.Default)" TargetMode="External"/><Relationship Id="rId267" Type="http://schemas.openxmlformats.org/officeDocument/2006/relationships/hyperlink" Target="http://www.westlaw.com/Link/Document/FullText?findType=Y&amp;serNum=2043897481&amp;pubNum=0000780&amp;originatingDoc=I781e23cf888511eaa154dedcbee99b91&amp;refType=RP&amp;originationContext=document&amp;vr=3.0&amp;rs=cblt1.0&amp;transitionType=DocumentItem&amp;contextData=(sc.Default)" TargetMode="External"/><Relationship Id="rId288" Type="http://schemas.openxmlformats.org/officeDocument/2006/relationships/hyperlink" Target="https://www.congress.gov/bill/115th-congress/house-bill/1551/text" TargetMode="External"/><Relationship Id="rId15" Type="http://schemas.openxmlformats.org/officeDocument/2006/relationships/hyperlink" Target="http://www.robertbrauneis.net/copyrightbook/arecententrancetoparadise.htm" TargetMode="External"/><Relationship Id="rId36" Type="http://schemas.openxmlformats.org/officeDocument/2006/relationships/image" Target="media/image8.jpeg"/><Relationship Id="rId57" Type="http://schemas.openxmlformats.org/officeDocument/2006/relationships/hyperlink" Target="http://www.westlaw.com/Link/Document/FullText?findType=L&amp;pubNum=1000546&amp;cite=17USCAS106&amp;originatingDoc=Id3df6529961311ebbb10beece37c6119&amp;refType=LQ&amp;originationContext=document&amp;vr=3.0&amp;rs=cblt1.0&amp;transitionType=DocumentItem&amp;contextData=(sc.Default)" TargetMode="External"/><Relationship Id="rId106" Type="http://schemas.openxmlformats.org/officeDocument/2006/relationships/hyperlink" Target="http://www.westlaw.com/Link/Document/Blob/I825747d005cf11ec96e9bc77c7a6afc6.png?originationContext=document&amp;vr=3.0&amp;rs=cblt1.0&amp;transitionType=DocumentImage&amp;contextData=(sc.Default)" TargetMode="External"/><Relationship Id="rId127"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262"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283" Type="http://schemas.openxmlformats.org/officeDocument/2006/relationships/hyperlink" Target="https://www.sealegacy.org/pages/face-of-climate-change" TargetMode="External"/><Relationship Id="rId313" Type="http://schemas.openxmlformats.org/officeDocument/2006/relationships/fontTable" Target="fontTable.xml"/><Relationship Id="rId10" Type="http://schemas.openxmlformats.org/officeDocument/2006/relationships/hyperlink" Target="https://journals.library.columbia.edu/index.php/lawandarts/article/view/8096/4176" TargetMode="External"/><Relationship Id="rId31" Type="http://schemas.openxmlformats.org/officeDocument/2006/relationships/image" Target="media/image7.jpeg"/><Relationship Id="rId52" Type="http://schemas.openxmlformats.org/officeDocument/2006/relationships/hyperlink" Target="http://www.westlaw.com/Link/Document/FullText?findType=Y&amp;serNum=2027818223&amp;pubNum=0004637&amp;originatingDoc=Id3df6529961311ebbb10beece37c6119&amp;refType=RP&amp;fi=co_pp_sp_4637_980&amp;originationContext=document&amp;vr=3.0&amp;rs=cblt1.0&amp;transitionType=DocumentItem&amp;contextData=(sc.Default)" TargetMode="External"/><Relationship Id="rId73" Type="http://schemas.openxmlformats.org/officeDocument/2006/relationships/hyperlink" Target="http://www.westlaw.com/Link/Document/FullText?findType=Y&amp;serNum=1994058334&amp;pubNum=0000780&amp;originatingDoc=Id3df6529961311ebbb10beece37c6119&amp;refType=RP&amp;originationContext=document&amp;vr=3.0&amp;rs=cblt1.0&amp;transitionType=DocumentItem&amp;contextData=(sc.Default)" TargetMode="External"/><Relationship Id="rId78" Type="http://schemas.openxmlformats.org/officeDocument/2006/relationships/hyperlink" Target="http://www.westlaw.com/Link/Document/FullText?findType=Y&amp;serNum=1995061748&amp;pubNum=0000506&amp;originatingDoc=Id3df6529961311ebbb10beece37c6119&amp;refType=RP&amp;fi=co_pp_sp_506_821&amp;originationContext=document&amp;vr=3.0&amp;rs=cblt1.0&amp;transitionType=DocumentItem&amp;contextData=(sc.Default)" TargetMode="External"/><Relationship Id="rId94" Type="http://schemas.openxmlformats.org/officeDocument/2006/relationships/hyperlink" Target="http://www.westlaw.com/Link/Document/FullText?findType=Y&amp;serNum=2044162681&amp;pubNum=0000506&amp;originatingDoc=Id3df6529961311ebbb10beece37c6119&amp;refType=RP&amp;fi=co_pp_sp_506_1207&amp;originationContext=document&amp;vr=3.0&amp;rs=cblt1.0&amp;transitionType=DocumentItem&amp;contextData=(sc.Default)" TargetMode="External"/><Relationship Id="rId99" Type="http://schemas.openxmlformats.org/officeDocument/2006/relationships/hyperlink" Target="https://medium.com/javarevisited/going-from-hello-world-to-multithreading-how-much-time-does-it-take-to-learn-java-2090eec3d510" TargetMode="External"/><Relationship Id="rId101" Type="http://schemas.openxmlformats.org/officeDocument/2006/relationships/hyperlink" Target="https://qr.ae/pGbKc7" TargetMode="External"/><Relationship Id="rId122" Type="http://schemas.openxmlformats.org/officeDocument/2006/relationships/hyperlink" Target="http://www.westlaw.com/Link/Document/FullText?findType=Y&amp;serNum=1994058334&amp;pubNum=0000780&amp;originatingDoc=Ie92beaa004f911ec81429451ea631beb&amp;refType=RP&amp;fi=co_pp_sp_780_577&amp;originationContext=document&amp;vr=3.0&amp;rs=cblt1.0&amp;transitionType=DocumentItem&amp;contextData=(sc.Default)" TargetMode="External"/><Relationship Id="rId143" Type="http://schemas.openxmlformats.org/officeDocument/2006/relationships/hyperlink" Target="http://www.westlaw.com/Link/Document/FullText?findType=Y&amp;serNum=2033553689&amp;originatingDoc=Ie92beaa004f911ec81429451ea631beb&amp;refType=RP&amp;originationContext=document&amp;vr=3.0&amp;rs=cblt1.0&amp;transitionType=DocumentItem&amp;contextData=(sc.Default)" TargetMode="External"/><Relationship Id="rId148" Type="http://schemas.openxmlformats.org/officeDocument/2006/relationships/hyperlink" Target="http://www.westlaw.com/Link/Document/FullText?findType=Y&amp;serNum=1992068198&amp;pubNum=0000350&amp;originatingDoc=Ie92beaa004f911ec81429451ea631beb&amp;refType=RP&amp;originationContext=document&amp;vr=3.0&amp;rs=cblt1.0&amp;transitionType=DocumentItem&amp;contextData=(sc.Default)" TargetMode="External"/><Relationship Id="rId164" Type="http://schemas.openxmlformats.org/officeDocument/2006/relationships/image" Target="media/image13.jpg"/><Relationship Id="rId169" Type="http://schemas.openxmlformats.org/officeDocument/2006/relationships/hyperlink" Target="https://www.ccb.gov/about/" TargetMode="External"/><Relationship Id="rId185" Type="http://schemas.openxmlformats.org/officeDocument/2006/relationships/hyperlink" Target="http://www.westlaw.com/Link/Document/FullText?findType=L&amp;pubNum=1000546&amp;cite=17USCAS102&amp;originatingDoc=I781e23cf888511eaa154dedcbee99b91&amp;refType=RB&amp;originationContext=document&amp;vr=3.0&amp;rs=cblt1.0&amp;transitionType=DocumentItem&amp;contextData=(sc.Default)" TargetMode="External"/><Relationship Id="rId4" Type="http://schemas.openxmlformats.org/officeDocument/2006/relationships/settings" Target="settings.xml"/><Relationship Id="rId9" Type="http://schemas.openxmlformats.org/officeDocument/2006/relationships/hyperlink" Target="https://scholarship.law.bu.edu/cgi/viewcontent.cgi?article=2080&amp;context=faculty_scholarship" TargetMode="External"/><Relationship Id="rId180" Type="http://schemas.openxmlformats.org/officeDocument/2006/relationships/hyperlink" Target="http://tiny.cc/gdbtky" TargetMode="External"/><Relationship Id="rId210"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15" Type="http://schemas.openxmlformats.org/officeDocument/2006/relationships/hyperlink" Target="http://www.westlaw.com/Link/Document/FullText?findType=Y&amp;serNum=1888180281&amp;pubNum=0000780&amp;originatingDoc=I781e23cf888511eaa154dedcbee99b91&amp;refType=RP&amp;fi=co_pp_sp_780_647&amp;originationContext=document&amp;vr=3.0&amp;rs=cblt1.0&amp;transitionType=DocumentItem&amp;contextData=(sc.Default)" TargetMode="External"/><Relationship Id="rId236" Type="http://schemas.openxmlformats.org/officeDocument/2006/relationships/hyperlink" Target="http://www.westlaw.com/Link/Document/FullText?findType=Y&amp;serNum=2003078650&amp;pubNum=0000780&amp;originatingDoc=I781e23cf888511eaa154dedcbee99b91&amp;refType=RP&amp;fi=co_pp_sp_780_212&amp;originationContext=document&amp;vr=3.0&amp;rs=cblt1.0&amp;transitionType=DocumentItem&amp;contextData=(sc.Default)" TargetMode="External"/><Relationship Id="rId257"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78" Type="http://schemas.openxmlformats.org/officeDocument/2006/relationships/hyperlink" Target="http://lawschool.westlaw.com/shared/westlawRedirect.aspx?task=find&amp;cite=302+F.Supp.3d+585&amp;appflag=67.12" TargetMode="External"/><Relationship Id="rId26" Type="http://schemas.openxmlformats.org/officeDocument/2006/relationships/hyperlink" Target="https://www.youtube.com/watch?v=bmHbMrN3Wpw" TargetMode="External"/><Relationship Id="rId231"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252" Type="http://schemas.openxmlformats.org/officeDocument/2006/relationships/hyperlink" Target="http://www.westlaw.com/Link/Document/FullText?findType=L&amp;pubNum=1000468&amp;cite=GAST34-9-260&amp;originatingDoc=I781e23cf888511eaa154dedcbee99b91&amp;refType=LQ&amp;originationContext=document&amp;vr=3.0&amp;rs=cblt1.0&amp;transitionType=DocumentItem&amp;contextData=(sc.Default)" TargetMode="External"/><Relationship Id="rId273" Type="http://schemas.openxmlformats.org/officeDocument/2006/relationships/image" Target="media/image16.jpeg"/><Relationship Id="rId294" Type="http://schemas.openxmlformats.org/officeDocument/2006/relationships/hyperlink" Target="https://www.riaa.com/wp-content/uploads/2019/02/RIAA-2018-Year-End-Music-Industry-Revenue-Report.pdf" TargetMode="External"/><Relationship Id="rId308" Type="http://schemas.openxmlformats.org/officeDocument/2006/relationships/hyperlink" Target="https://1.next.westlaw.com/Link/Document/FullText?findType=L&amp;pubNum=1000546&amp;cite=17USCAS102&amp;originatingDoc=I2bec2d00c9a311e7b3adfa6a631648d5&amp;refType=SP&amp;originationContext=document&amp;transitionType=DocumentItem&amp;contextData=(sc.Search)" TargetMode="External"/><Relationship Id="rId47" Type="http://schemas.openxmlformats.org/officeDocument/2006/relationships/hyperlink" Target="https://docs.oracle.com/en/java/javase/16/docs/api/index.html" TargetMode="External"/><Relationship Id="rId68" Type="http://schemas.openxmlformats.org/officeDocument/2006/relationships/hyperlink" Target="http://www.westlaw.com/Link/Document/FullText?findType=L&amp;pubNum=1000583&amp;cite=USCOARTIS8CL8&amp;originatingDoc=Id3df6529961311ebbb10beece37c6119&amp;refType=LQ&amp;originationContext=document&amp;vr=3.0&amp;rs=cblt1.0&amp;transitionType=DocumentItem&amp;contextData=(sc.Default)" TargetMode="External"/><Relationship Id="rId89" Type="http://schemas.openxmlformats.org/officeDocument/2006/relationships/hyperlink" Target="http://www.westlaw.com/Link/Document/FullText?findType=L&amp;pubNum=1000546&amp;cite=17USCAS101&amp;originatingDoc=Id3df6529961311ebbb10beece37c6119&amp;refType=LQ&amp;originationContext=document&amp;vr=3.0&amp;rs=cblt1.0&amp;transitionType=DocumentItem&amp;contextData=(sc.Default)" TargetMode="External"/><Relationship Id="rId112" Type="http://schemas.openxmlformats.org/officeDocument/2006/relationships/hyperlink" Target="http://www.westlaw.com/Link/Document/FullText?findType=L&amp;pubNum=1000546&amp;cite=17USCAS501&amp;originatingDoc=Ie92beaa004f911ec81429451ea631beb&amp;refType=LQ&amp;originationContext=document&amp;vr=3.0&amp;rs=cblt1.0&amp;transitionType=DocumentItem&amp;contextData=(sc.Default)" TargetMode="External"/><Relationship Id="rId133"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154" Type="http://schemas.openxmlformats.org/officeDocument/2006/relationships/hyperlink" Target="http://www.westlaw.com/Link/Document/FullText?findType=Y&amp;serNum=2030422816&amp;pubNum=0000506&amp;originatingDoc=Ie92beaa004f911ec81429451ea631beb&amp;refType=RP&amp;fi=co_pp_sp_506_710&amp;originationContext=document&amp;vr=3.0&amp;rs=cblt1.0&amp;transitionType=DocumentItem&amp;contextData=(sc.Default)" TargetMode="External"/><Relationship Id="rId175" Type="http://schemas.openxmlformats.org/officeDocument/2006/relationships/hyperlink" Target="https://ccb.gov/handbook/" TargetMode="External"/><Relationship Id="rId196" Type="http://schemas.openxmlformats.org/officeDocument/2006/relationships/hyperlink" Target="http://www.westlaw.com/Link/Document/FullText?findType=Y&amp;serNum=1834197968&amp;pubNum=0000780&amp;originatingDoc=I781e23cf888511eaa154dedcbee99b91&amp;refType=RP&amp;fi=co_pp_sp_780_668&amp;originationContext=document&amp;vr=3.0&amp;rs=cblt1.0&amp;transitionType=DocumentItem&amp;contextData=(sc.Default)" TargetMode="External"/><Relationship Id="rId200" Type="http://schemas.openxmlformats.org/officeDocument/2006/relationships/hyperlink" Target="http://www.westlaw.com/Link/Document/FullText?findType=Y&amp;serNum=1834197968&amp;pubNum=0000780&amp;originatingDoc=I781e23cf888511eaa154dedcbee99b91&amp;refType=RP&amp;originationContext=document&amp;vr=3.0&amp;rs=cblt1.0&amp;transitionType=DocumentItem&amp;contextData=(sc.Default)" TargetMode="External"/><Relationship Id="rId16" Type="http://schemas.openxmlformats.org/officeDocument/2006/relationships/hyperlink" Target="https://www.copyright.gov/rulings-filings/review-board/docs/a-recent-entrance-to-paradise.pdf" TargetMode="External"/><Relationship Id="rId221" Type="http://schemas.openxmlformats.org/officeDocument/2006/relationships/hyperlink" Target="http://www.westlaw.com/Link/Document/FullText?findType=Y&amp;serNum=1886008810&amp;pubNum=0000577&amp;originatingDoc=I781e23cf888511eaa154dedcbee99b91&amp;refType=RP&amp;fi=co_pp_sp_577_560&amp;originationContext=document&amp;vr=3.0&amp;rs=cblt1.0&amp;transitionType=DocumentItem&amp;contextData=(sc.Default)" TargetMode="External"/><Relationship Id="rId242" Type="http://schemas.openxmlformats.org/officeDocument/2006/relationships/hyperlink" Target="http://www.westlaw.com/Link/Document/FullText?findType=L&amp;pubNum=1000468&amp;cite=GAST16-6-18&amp;originatingDoc=I781e23cf888511eaa154dedcbee99b91&amp;refType=LQ&amp;originationContext=document&amp;vr=3.0&amp;rs=cblt1.0&amp;transitionType=DocumentItem&amp;contextData=(sc.Default)" TargetMode="External"/><Relationship Id="rId263"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84" Type="http://schemas.openxmlformats.org/officeDocument/2006/relationships/hyperlink" Target="http://lawschool.westlaw.com/shared/westlawRedirect.aspx?task=find&amp;cite=2021+WL+3239510&amp;appflag=67.12" TargetMode="External"/><Relationship Id="rId37" Type="http://schemas.openxmlformats.org/officeDocument/2006/relationships/hyperlink" Target="http://www.westlaw.com/Link/Document/FullText?findType=h&amp;pubNum=176284&amp;cite=0254766801&amp;originatingDoc=Id3df6529961311ebbb10beece37c6119&amp;refType=RQ&amp;originationContext=document&amp;vr=3.0&amp;rs=cblt1.0&amp;transitionType=DocumentItem&amp;contextData=(sc.Default)" TargetMode="External"/><Relationship Id="rId58" Type="http://schemas.openxmlformats.org/officeDocument/2006/relationships/hyperlink" Target="http://www.westlaw.com/Link/Document/FullText?findType=Y&amp;serNum=1995061748&amp;pubNum=0000506&amp;originatingDoc=Id3df6529961311ebbb10beece37c6119&amp;refType=RP&amp;fi=co_pp_sp_506_809&amp;originationContext=document&amp;vr=3.0&amp;rs=cblt1.0&amp;transitionType=DocumentItem&amp;contextData=(sc.Default)" TargetMode="External"/><Relationship Id="rId79" Type="http://schemas.openxmlformats.org/officeDocument/2006/relationships/hyperlink" Target="http://www.westlaw.com/Link/Document/FullText?findType=Y&amp;serNum=1994058334&amp;pubNum=0000780&amp;originatingDoc=Id3df6529961311ebbb10beece37c6119&amp;refType=RP&amp;fi=co_pp_sp_780_591&amp;originationContext=document&amp;vr=3.0&amp;rs=cblt1.0&amp;transitionType=DocumentItem&amp;contextData=(sc.Default)" TargetMode="External"/><Relationship Id="rId102" Type="http://schemas.openxmlformats.org/officeDocument/2006/relationships/hyperlink" Target="https://medium.com/javarevisited/going-from-hello-world-to-multithreading-how-much-time-does-it-take-to-learn-java-2090eec3d510" TargetMode="External"/><Relationship Id="rId123" Type="http://schemas.openxmlformats.org/officeDocument/2006/relationships/hyperlink" Target="http://www.westlaw.com/Link/Document/FullText?findType=Y&amp;serNum=2030422816&amp;pubNum=0000506&amp;originatingDoc=Ie92beaa004f911ec81429451ea631beb&amp;refType=RP&amp;fi=co_pp_sp_506_705&amp;originationContext=document&amp;vr=3.0&amp;rs=cblt1.0&amp;transitionType=DocumentItem&amp;contextData=(sc.Default)" TargetMode="External"/><Relationship Id="rId144" Type="http://schemas.openxmlformats.org/officeDocument/2006/relationships/hyperlink" Target="http://www.westlaw.com/Link/Document/FullText?findType=Y&amp;serNum=2037398059&amp;pubNum=0000506&amp;originatingDoc=Ie92beaa004f911ec81429451ea631beb&amp;refType=RP&amp;fi=co_pp_sp_506_216&amp;originationContext=document&amp;vr=3.0&amp;rs=cblt1.0&amp;transitionType=DocumentItem&amp;contextData=(sc.Default)" TargetMode="External"/><Relationship Id="rId90" Type="http://schemas.openxmlformats.org/officeDocument/2006/relationships/hyperlink" Target="http://www.westlaw.com/Link/Document/FullText?findType=Y&amp;serNum=2039098986&amp;pubNum=0000999&amp;originatingDoc=Id3df6529961311ebbb10beece37c6119&amp;refType=RP&amp;originationContext=document&amp;vr=3.0&amp;rs=cblt1.0&amp;transitionType=DocumentItem&amp;contextData=(sc.Default)" TargetMode="External"/><Relationship Id="rId165" Type="http://schemas.openxmlformats.org/officeDocument/2006/relationships/hyperlink" Target="http://lawschool.westlaw.com/shared/westlawRedirect.aspx?task=find&amp;cite=881+F.3d+293&amp;appflag=67.12" TargetMode="External"/><Relationship Id="rId186" Type="http://schemas.openxmlformats.org/officeDocument/2006/relationships/hyperlink" Target="http://www.westlaw.com/Link/Document/FullText?findType=Y&amp;serNum=1888180264&amp;pubNum=0000708&amp;originatingDoc=I781e23cf888511eaa154dedcbee99b91&amp;refType=RP&amp;originationContext=document&amp;vr=3.0&amp;rs=cblt1.0&amp;transitionType=DocumentItem&amp;contextData=(sc.Default)" TargetMode="External"/><Relationship Id="rId211" Type="http://schemas.openxmlformats.org/officeDocument/2006/relationships/hyperlink" Target="http://www.westlaw.com/Link/Document/FullText?findType=Y&amp;serNum=1888180281&amp;pubNum=0000780&amp;originatingDoc=I781e23cf888511eaa154dedcbee99b91&amp;refType=RP&amp;fi=co_pp_sp_780_647&amp;originationContext=document&amp;vr=3.0&amp;rs=cblt1.0&amp;transitionType=DocumentItem&amp;contextData=(sc.Default)" TargetMode="External"/><Relationship Id="rId232" Type="http://schemas.openxmlformats.org/officeDocument/2006/relationships/hyperlink" Target="http://www.westlaw.com/Link/Document/FullText?findType=L&amp;pubNum=1000546&amp;cite=17USCAS101&amp;originatingDoc=I781e23cf888511eaa154dedcbee99b91&amp;refType=LQ&amp;originationContext=document&amp;vr=3.0&amp;rs=cblt1.0&amp;transitionType=DocumentItem&amp;contextData=(sc.Default)" TargetMode="External"/><Relationship Id="rId253" Type="http://schemas.openxmlformats.org/officeDocument/2006/relationships/hyperlink" Target="http://www.westlaw.com/Link/Document/FullText?findType=L&amp;pubNum=1000546&amp;cite=17USCAS101&amp;originatingDoc=I781e23cf888511eaa154dedcbee99b91&amp;refType=LQ&amp;originationContext=document&amp;vr=3.0&amp;rs=cblt1.0&amp;transitionType=DocumentItem&amp;contextData=(sc.Default)" TargetMode="External"/><Relationship Id="rId274" Type="http://schemas.openxmlformats.org/officeDocument/2006/relationships/image" Target="media/image17.png"/><Relationship Id="rId295" Type="http://schemas.openxmlformats.org/officeDocument/2006/relationships/hyperlink" Target="https://www.youtube.com/watch?v=FTQbiNvZqaY" TargetMode="External"/><Relationship Id="rId309" Type="http://schemas.openxmlformats.org/officeDocument/2006/relationships/hyperlink" Target="https://1.next.westlaw.com/Link/Document/FullText?findType=Y&amp;serNum=2036581001&amp;pubNum=0000506&amp;originatingDoc=I2bec2d00c9a311e7b3adfa6a631648d5&amp;refType=RP&amp;fi=co_pp_sp_506_596&amp;originationContext=document&amp;transitionType=DocumentItem&amp;contextData=(sc.Search)" TargetMode="External"/><Relationship Id="rId27" Type="http://schemas.openxmlformats.org/officeDocument/2006/relationships/hyperlink" Target="https://www.youtube.com/watch?v=Z_SFt_WNHfU" TargetMode="External"/><Relationship Id="rId48" Type="http://schemas.openxmlformats.org/officeDocument/2006/relationships/hyperlink" Target="http://www.robertbrauneis.net/copyrightbook/googlevoracleappendixa.htm" TargetMode="External"/><Relationship Id="rId69" Type="http://schemas.openxmlformats.org/officeDocument/2006/relationships/hyperlink" Target="http://www.westlaw.com/Link/Document/FullText?findType=Y&amp;serNum=1994058334&amp;pubNum=0000780&amp;originatingDoc=Id3df6529961311ebbb10beece37c6119&amp;refType=RP&amp;fi=co_pp_sp_780_586&amp;originationContext=document&amp;vr=3.0&amp;rs=cblt1.0&amp;transitionType=DocumentItem&amp;contextData=(sc.Default)" TargetMode="External"/><Relationship Id="rId113" Type="http://schemas.openxmlformats.org/officeDocument/2006/relationships/hyperlink" Target="http://www.westlaw.com/Link/Document/FullText?findType=Y&amp;serNum=2053376261&amp;pubNum=0000708&amp;originatingDoc=Ie92beaa004f911ec81429451ea631beb&amp;refType=RP&amp;fi=co_pp_sp_708_1197&amp;originationContext=document&amp;vr=3.0&amp;rs=cblt1.0&amp;transitionType=DocumentItem&amp;contextData=(sc.Default)" TargetMode="External"/><Relationship Id="rId134" Type="http://schemas.openxmlformats.org/officeDocument/2006/relationships/hyperlink" Target="http://www.westlaw.com/Link/Document/FullText?findType=Y&amp;serNum=2030422816&amp;pubNum=0000506&amp;originatingDoc=Ie92beaa004f911ec81429451ea631beb&amp;refType=RP&amp;fi=co_pp_sp_506_708&amp;originationContext=document&amp;vr=3.0&amp;rs=cblt1.0&amp;transitionType=DocumentItem&amp;contextData=(sc.Default)" TargetMode="External"/><Relationship Id="rId80" Type="http://schemas.openxmlformats.org/officeDocument/2006/relationships/hyperlink" Target="http://www.westlaw.com/Link/Document/FullText?findType=Y&amp;serNum=2000051419&amp;pubNum=0000506&amp;originatingDoc=Id3df6529961311ebbb10beece37c6119&amp;refType=RP&amp;fi=co_pp_sp_506_607&amp;originationContext=document&amp;vr=3.0&amp;rs=cblt1.0&amp;transitionType=DocumentItem&amp;contextData=(sc.Default)" TargetMode="External"/><Relationship Id="rId155" Type="http://schemas.openxmlformats.org/officeDocument/2006/relationships/hyperlink" Target="https://www.youtube.com/watch?v=STYiWIZ-2IQ&amp;ab_channel=SlobodanZemljanin" TargetMode="External"/><Relationship Id="rId176" Type="http://schemas.openxmlformats.org/officeDocument/2006/relationships/hyperlink" Target="https://www.youtube.com/watch?v=UVRjoyN2izs&amp;ab_channel=ASMP%3AAmericanSocietyofMediaPhotographers" TargetMode="External"/><Relationship Id="rId197" Type="http://schemas.openxmlformats.org/officeDocument/2006/relationships/hyperlink" Target="http://www.westlaw.com/Link/Document/FullText?findType=Y&amp;serNum=1888180264&amp;pubNum=0000708&amp;originatingDoc=I781e23cf888511eaa154dedcbee99b91&amp;refType=RP&amp;originationContext=document&amp;vr=3.0&amp;rs=cblt1.0&amp;transitionType=DocumentItem&amp;contextData=(sc.Default)" TargetMode="External"/><Relationship Id="rId201"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222" Type="http://schemas.openxmlformats.org/officeDocument/2006/relationships/hyperlink" Target="http://www.westlaw.com/Link/Document/FullText?findType=Y&amp;serNum=1899147257&amp;pubNum=0000348&amp;originatingDoc=I781e23cf888511eaa154dedcbee99b91&amp;refType=RP&amp;fi=co_pp_sp_348_130&amp;originationContext=document&amp;vr=3.0&amp;rs=cblt1.0&amp;transitionType=DocumentItem&amp;contextData=(sc.Default)" TargetMode="External"/><Relationship Id="rId243" Type="http://schemas.openxmlformats.org/officeDocument/2006/relationships/hyperlink" Target="http://www.westlaw.com/Link/Document/FullText?findType=L&amp;pubNum=1000468&amp;cite=GAST16-15-9&amp;originatingDoc=I781e23cf888511eaa154dedcbee99b91&amp;refType=LQ&amp;originationContext=document&amp;vr=3.0&amp;rs=cblt1.0&amp;transitionType=DocumentItem&amp;contextData=(sc.Default)" TargetMode="External"/><Relationship Id="rId264" Type="http://schemas.openxmlformats.org/officeDocument/2006/relationships/hyperlink" Target="http://www.westlaw.com/Link/Document/FullText?findType=Y&amp;serNum=1923120352&amp;pubNum=0000780&amp;originatingDoc=I781e23cf888511eaa154dedcbee99b91&amp;refType=RP&amp;fi=co_pp_sp_780_488&amp;originationContext=document&amp;vr=3.0&amp;rs=cblt1.0&amp;transitionType=DocumentItem&amp;contextData=(sc.Default)" TargetMode="External"/><Relationship Id="rId285" Type="http://schemas.openxmlformats.org/officeDocument/2006/relationships/hyperlink" Target="http://lawschool.westlaw.com/shared/westlawRedirect.aspx?task=find&amp;cite=869+F.3d+848&amp;appflag=67.12" TargetMode="External"/><Relationship Id="rId17" Type="http://schemas.openxmlformats.org/officeDocument/2006/relationships/hyperlink" Target="http://lawschool.westlaw.com/shared/westlawRedirect.aspx?task=find&amp;cite=886+F3d+1179&amp;appflag=67.12" TargetMode="External"/><Relationship Id="rId38" Type="http://schemas.openxmlformats.org/officeDocument/2006/relationships/hyperlink" Target="http://www.robertbrauneis.net/copyrightbook/googlevoracleappendixa.htm" TargetMode="External"/><Relationship Id="rId59" Type="http://schemas.openxmlformats.org/officeDocument/2006/relationships/hyperlink" Target="http://www.westlaw.com/Link/Document/FullText?findType=Y&amp;serNum=1879195185&amp;pubNum=0000780&amp;originatingDoc=Id3df6529961311ebbb10beece37c6119&amp;refType=RP&amp;originationContext=document&amp;vr=3.0&amp;rs=cblt1.0&amp;transitionType=DocumentItem&amp;contextData=(sc.Default)" TargetMode="External"/><Relationship Id="rId103" Type="http://schemas.openxmlformats.org/officeDocument/2006/relationships/hyperlink" Target="https://www.bls.gov/oes/current/oes272011.htm" TargetMode="External"/><Relationship Id="rId124" Type="http://schemas.openxmlformats.org/officeDocument/2006/relationships/hyperlink" Target="http://www.westlaw.com/Link/Document/FullText?findType=Y&amp;serNum=2030422816&amp;pubNum=0000506&amp;originatingDoc=Ie92beaa004f911ec81429451ea631beb&amp;refType=RP&amp;originationContext=document&amp;vr=3.0&amp;rs=cblt1.0&amp;transitionType=DocumentItem&amp;contextData=(sc.Default)" TargetMode="External"/><Relationship Id="rId310" Type="http://schemas.openxmlformats.org/officeDocument/2006/relationships/hyperlink" Target="https://1.next.westlaw.com/Document/I2bec2d00c9a311e7b3adfa6a631648d5/View/FullText.html?transitionType=UniqueDocItem&amp;contextData=(sc.Search)&amp;userEnteredCitation=875+F.3d+765" TargetMode="External"/><Relationship Id="rId70" Type="http://schemas.openxmlformats.org/officeDocument/2006/relationships/hyperlink" Target="http://www.westlaw.com/Link/Document/FullText?findType=L&amp;pubNum=1000546&amp;cite=17USCAS107&amp;originatingDoc=Id3df6529961311ebbb10beece37c6119&amp;refType=RB&amp;originationContext=document&amp;vr=3.0&amp;rs=cblt1.0&amp;transitionType=DocumentItem&amp;contextData=(sc.Default)" TargetMode="External"/><Relationship Id="rId91" Type="http://schemas.openxmlformats.org/officeDocument/2006/relationships/hyperlink" Target="http://www.westlaw.com/Link/Document/FullText?findType=Y&amp;serNum=1994058334&amp;pubNum=0000780&amp;originatingDoc=Id3df6529961311ebbb10beece37c6119&amp;refType=RP&amp;fi=co_pp_sp_780_592&amp;originationContext=document&amp;vr=3.0&amp;rs=cblt1.0&amp;transitionType=DocumentItem&amp;contextData=(sc.Default)" TargetMode="External"/><Relationship Id="rId145" Type="http://schemas.openxmlformats.org/officeDocument/2006/relationships/hyperlink" Target="http://www.westlaw.com/Link/Document/FullText?findType=Y&amp;serNum=2053376261&amp;pubNum=0000708&amp;originatingDoc=Ie92beaa004f911ec81429451ea631beb&amp;refType=RP&amp;originationContext=document&amp;vr=3.0&amp;rs=cblt1.0&amp;transitionType=DocumentItem&amp;contextData=(sc.Default)" TargetMode="External"/><Relationship Id="rId166" Type="http://schemas.openxmlformats.org/officeDocument/2006/relationships/hyperlink" Target="http://lawschool.westlaw.com/shared/westlawRedirect.aspx?task=find&amp;cite=885+F.3d+597&amp;appflag=67.12" TargetMode="External"/><Relationship Id="rId187" Type="http://schemas.openxmlformats.org/officeDocument/2006/relationships/hyperlink" Target="http://www.westlaw.com/Link/Document/FullText?findType=L&amp;pubNum=1000468&amp;cite=GAST51-1-1&amp;originatingDoc=I781e23cf888511eaa154dedcbee99b91&amp;refType=LQ&amp;originationContext=document&amp;vr=3.0&amp;rs=cblt1.0&amp;transitionType=DocumentItem&amp;contextData=(sc.Default)" TargetMode="External"/><Relationship Id="rId1" Type="http://schemas.openxmlformats.org/officeDocument/2006/relationships/customXml" Target="../customXml/item1.xml"/><Relationship Id="rId212" Type="http://schemas.openxmlformats.org/officeDocument/2006/relationships/hyperlink" Target="http://www.westlaw.com/Link/Document/FullText?findType=Y&amp;serNum=1888180264&amp;pubNum=0000780&amp;originatingDoc=I781e23cf888511eaa154dedcbee99b91&amp;refType=RP&amp;fi=co_pp_sp_780_253&amp;originationContext=document&amp;vr=3.0&amp;rs=cblt1.0&amp;transitionType=DocumentItem&amp;contextData=(sc.Default)" TargetMode="External"/><Relationship Id="rId233" Type="http://schemas.openxmlformats.org/officeDocument/2006/relationships/hyperlink" Target="http://www.westlaw.com/Link/Document/FullText?findType=L&amp;pubNum=1000546&amp;cite=17USCAS101&amp;originatingDoc=I781e23cf888511eaa154dedcbee99b91&amp;refType=LQ&amp;originationContext=document&amp;vr=3.0&amp;rs=cblt1.0&amp;transitionType=DocumentItem&amp;contextData=(sc.Default)" TargetMode="External"/><Relationship Id="rId254" Type="http://schemas.openxmlformats.org/officeDocument/2006/relationships/hyperlink" Target="http://www.westlaw.com/Link/Document/FullText?findType=L&amp;pubNum=1000546&amp;cite=17USCAS101&amp;originatingDoc=I781e23cf888511eaa154dedcbee99b91&amp;refType=LQ&amp;originationContext=document&amp;vr=3.0&amp;rs=cblt1.0&amp;transitionType=DocumentItem&amp;contextData=(sc.Default)" TargetMode="External"/><Relationship Id="rId28" Type="http://schemas.openxmlformats.org/officeDocument/2006/relationships/hyperlink" Target="https://www.youtube.com/watch?v=bmHbMrN3Wpw" TargetMode="External"/><Relationship Id="rId49" Type="http://schemas.openxmlformats.org/officeDocument/2006/relationships/hyperlink" Target="https://docs.oracle.com/en/java/javase/16/docs/api/index.html" TargetMode="External"/><Relationship Id="rId114" Type="http://schemas.openxmlformats.org/officeDocument/2006/relationships/hyperlink" Target="http://www.westlaw.com/Link/Document/FullText?findType=Y&amp;serNum=1994058334&amp;pubNum=0000780&amp;originatingDoc=Ie92beaa004f911ec81429451ea631beb&amp;refType=RP&amp;originationContext=document&amp;vr=3.0&amp;rs=cblt1.0&amp;transitionType=DocumentItem&amp;contextData=(sc.Default)" TargetMode="External"/><Relationship Id="rId275" Type="http://schemas.openxmlformats.org/officeDocument/2006/relationships/image" Target="media/image18.png"/><Relationship Id="rId296" Type="http://schemas.openxmlformats.org/officeDocument/2006/relationships/hyperlink" Target="https://www.youtube.com/watch?v=mk5Dwg5zm2U" TargetMode="External"/><Relationship Id="rId300" Type="http://schemas.openxmlformats.org/officeDocument/2006/relationships/hyperlink" Target="https://www.youtube.com/watch?v=u1QJwHWvgP8" TargetMode="External"/><Relationship Id="rId60" Type="http://schemas.openxmlformats.org/officeDocument/2006/relationships/hyperlink" Target="http://www.westlaw.com/Link/Document/FullText?findType=Y&amp;serNum=1994058334&amp;pubNum=0000780&amp;originatingDoc=Id3df6529961311ebbb10beece37c6119&amp;refType=RP&amp;fi=co_pp_sp_780_586&amp;originationContext=document&amp;vr=3.0&amp;rs=cblt1.0&amp;transitionType=DocumentItem&amp;contextData=(sc.Default)" TargetMode="External"/><Relationship Id="rId81" Type="http://schemas.openxmlformats.org/officeDocument/2006/relationships/hyperlink" Target="http://www.westlaw.com/Link/Document/FullText?findType=Y&amp;serNum=1992181455&amp;pubNum=0000350&amp;originatingDoc=Id3df6529961311ebbb10beece37c6119&amp;refType=RP&amp;fi=co_pp_sp_350_1523&amp;originationContext=document&amp;vr=3.0&amp;rs=cblt1.0&amp;transitionType=DocumentItem&amp;contextData=(sc.Default)" TargetMode="External"/><Relationship Id="rId135" Type="http://schemas.openxmlformats.org/officeDocument/2006/relationships/hyperlink" Target="http://www.westlaw.com/Link/Document/FullText?findType=Y&amp;serNum=2037398059&amp;pubNum=0000506&amp;originatingDoc=Ie92beaa004f911ec81429451ea631beb&amp;refType=RP&amp;fi=co_pp_sp_506_215&amp;originationContext=document&amp;vr=3.0&amp;rs=cblt1.0&amp;transitionType=DocumentItem&amp;contextData=(sc.Default)" TargetMode="External"/><Relationship Id="rId156" Type="http://schemas.openxmlformats.org/officeDocument/2006/relationships/hyperlink" Target="https://www.youtube.com/watch?v=STYiWIZ-2IQ&amp;ab_channel=SlobodanZemljanin" TargetMode="External"/><Relationship Id="rId177" Type="http://schemas.openxmlformats.org/officeDocument/2006/relationships/hyperlink" Target="https://www.eff.org/deeplinks/2022/06/copyright-small-claims-quasi-court-opens-heres-why-many-defendants-will-opt-out" TargetMode="External"/><Relationship Id="rId198" Type="http://schemas.openxmlformats.org/officeDocument/2006/relationships/hyperlink" Target="http://www.westlaw.com/Link/Document/FullText?findType=Y&amp;serNum=1888180264&amp;pubNum=0000708&amp;originatingDoc=I781e23cf888511eaa154dedcbee99b91&amp;refType=RP&amp;originationContext=document&amp;vr=3.0&amp;rs=cblt1.0&amp;transitionType=DocumentItem&amp;contextData=(sc.Default)" TargetMode="External"/><Relationship Id="rId202"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23"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44" Type="http://schemas.openxmlformats.org/officeDocument/2006/relationships/hyperlink" Target="http://www.westlaw.com/Link/Document/FullText?findType=h&amp;pubNum=176284&amp;cite=0216654601&amp;originatingDoc=I781e23cf888511eaa154dedcbee99b91&amp;refType=RQ&amp;originationContext=document&amp;vr=3.0&amp;rs=cblt1.0&amp;transitionType=DocumentItem&amp;contextData=(sc.Default)" TargetMode="External"/><Relationship Id="rId18" Type="http://schemas.openxmlformats.org/officeDocument/2006/relationships/image" Target="media/image2.png"/><Relationship Id="rId39" Type="http://schemas.openxmlformats.org/officeDocument/2006/relationships/hyperlink" Target="http://www.robertbrauneis.net/copyrightbook/googlevoracleappendixa.htm" TargetMode="External"/><Relationship Id="rId265" Type="http://schemas.openxmlformats.org/officeDocument/2006/relationships/hyperlink" Target="http://www.westlaw.com/Link/Document/FullText?findType=Y&amp;serNum=1801123932&amp;pubNum=0000780&amp;originatingDoc=I781e23cf888511eaa154dedcbee99b91&amp;refType=RP&amp;fi=co_pp_sp_780_177&amp;originationContext=document&amp;vr=3.0&amp;rs=cblt1.0&amp;transitionType=DocumentItem&amp;contextData=(sc.Default)" TargetMode="External"/><Relationship Id="rId286" Type="http://schemas.openxmlformats.org/officeDocument/2006/relationships/image" Target="media/image20.jpeg"/><Relationship Id="rId50" Type="http://schemas.openxmlformats.org/officeDocument/2006/relationships/hyperlink" Target="http://www.westlaw.com/Link/Document/FullText?findType=Y&amp;serNum=2027818223&amp;pubNum=0004637&amp;originatingDoc=Id3df6529961311ebbb10beece37c6119&amp;refType=RP&amp;fi=co_pp_sp_4637_979&amp;originationContext=document&amp;vr=3.0&amp;rs=cblt1.0&amp;transitionType=DocumentItem&amp;contextData=(sc.Default)" TargetMode="External"/><Relationship Id="rId104" Type="http://schemas.openxmlformats.org/officeDocument/2006/relationships/hyperlink" Target="http://www.westlaw.com/Link/Document/FullText?findType=h&amp;pubNum=176284&amp;cite=0151601501&amp;originatingDoc=Ie92beaa004f911ec81429451ea631beb&amp;refType=RQ&amp;originationContext=document&amp;vr=3.0&amp;rs=cblt1.0&amp;transitionType=DocumentItem&amp;contextData=(sc.Default)" TargetMode="External"/><Relationship Id="rId125" Type="http://schemas.openxmlformats.org/officeDocument/2006/relationships/hyperlink" Target="http://www.westlaw.com/Link/Document/FullText?findType=Y&amp;serNum=2048603632&amp;pubNum=0007903&amp;originatingDoc=Ie92beaa004f911ec81429451ea631beb&amp;refType=RP&amp;fi=co_pp_sp_7903_325&amp;originationContext=document&amp;vr=3.0&amp;rs=cblt1.0&amp;transitionType=DocumentItem&amp;contextData=(sc.Default)" TargetMode="External"/><Relationship Id="rId146" Type="http://schemas.openxmlformats.org/officeDocument/2006/relationships/hyperlink" Target="http://www.westlaw.com/Link/Document/FullText?findType=Y&amp;serNum=2053376261&amp;pubNum=0000708&amp;originatingDoc=Ie92beaa004f911ec81429451ea631beb&amp;refType=RP&amp;fi=co_pp_sp_708_1203&amp;originationContext=document&amp;vr=3.0&amp;rs=cblt1.0&amp;transitionType=DocumentItem&amp;contextData=(sc.Default)" TargetMode="External"/><Relationship Id="rId167" Type="http://schemas.openxmlformats.org/officeDocument/2006/relationships/hyperlink" Target="https://copyright.gov/legislation/copyright-small-claims.pdf" TargetMode="External"/><Relationship Id="rId188" Type="http://schemas.openxmlformats.org/officeDocument/2006/relationships/hyperlink" Target="http://www.westlaw.com/Link/Document/FullText?findType=L&amp;pubNum=1000468&amp;cite=GAST53-4-2&amp;originatingDoc=I781e23cf888511eaa154dedcbee99b91&amp;refType=LQ&amp;originationContext=document&amp;vr=3.0&amp;rs=cblt1.0&amp;transitionType=DocumentItem&amp;contextData=(sc.Default)" TargetMode="External"/><Relationship Id="rId311" Type="http://schemas.openxmlformats.org/officeDocument/2006/relationships/hyperlink" Target="http://lawschool.westlaw.com/shared/westlawRedirect.aspx?task=find&amp;cite=853+F.3d+1004&amp;appflag=67.12" TargetMode="External"/><Relationship Id="rId71" Type="http://schemas.openxmlformats.org/officeDocument/2006/relationships/hyperlink" Target="http://www.westlaw.com/Link/Document/FullText?findType=Y&amp;serNum=1994058334&amp;pubNum=0000780&amp;originatingDoc=Id3df6529961311ebbb10beece37c6119&amp;refType=RP&amp;originationContext=document&amp;vr=3.0&amp;rs=cblt1.0&amp;transitionType=DocumentItem&amp;contextData=(sc.Default)" TargetMode="External"/><Relationship Id="rId92" Type="http://schemas.openxmlformats.org/officeDocument/2006/relationships/hyperlink" Target="http://www.westlaw.com/Link/Document/FullText?findType=L&amp;pubNum=1000546&amp;cite=17USCAS107&amp;originatingDoc=Id3df6529961311ebbb10beece37c6119&amp;refType=RB&amp;originationContext=document&amp;vr=3.0&amp;rs=cblt1.0&amp;transitionType=DocumentItem&amp;contextData=(sc.Default)" TargetMode="External"/><Relationship Id="rId213" Type="http://schemas.openxmlformats.org/officeDocument/2006/relationships/hyperlink" Target="http://www.westlaw.com/Link/Document/FullText?findType=Y&amp;serNum=1888180264&amp;pubNum=0000780&amp;originatingDoc=I781e23cf888511eaa154dedcbee99b91&amp;refType=RP&amp;originationContext=document&amp;vr=3.0&amp;rs=cblt1.0&amp;transitionType=DocumentItem&amp;contextData=(sc.Default)" TargetMode="External"/><Relationship Id="rId234" Type="http://schemas.openxmlformats.org/officeDocument/2006/relationships/hyperlink" Target="http://www.westlaw.com/Link/Document/FullText?findType=Y&amp;serNum=2047367430&amp;pubNum=0000780&amp;originatingDoc=I781e23cf888511eaa154dedcbee99b91&amp;refType=RP&amp;originationContext=document&amp;vr=3.0&amp;rs=cblt1.0&amp;transitionType=DocumentItem&amp;contextData=(sc.Default)" TargetMode="External"/><Relationship Id="rId2" Type="http://schemas.openxmlformats.org/officeDocument/2006/relationships/numbering" Target="numbering.xml"/><Relationship Id="rId29" Type="http://schemas.openxmlformats.org/officeDocument/2006/relationships/hyperlink" Target="https://www.youtube.com/watch?v=Z_SFt_WNHfU" TargetMode="External"/><Relationship Id="rId255" Type="http://schemas.openxmlformats.org/officeDocument/2006/relationships/hyperlink" Target="http://www.westlaw.com/Link/Document/FullText?findType=Y&amp;serNum=2040456601&amp;pubNum=0000780&amp;originatingDoc=I781e23cf888511eaa154dedcbee99b91&amp;refType=RP&amp;originationContext=document&amp;vr=3.0&amp;rs=cblt1.0&amp;transitionType=DocumentItem&amp;contextData=(sc.Default)" TargetMode="External"/><Relationship Id="rId276" Type="http://schemas.openxmlformats.org/officeDocument/2006/relationships/hyperlink" Target="http://lawschool.westlaw.com/shared/westlawRedirect.aspx?task=find&amp;cite=2018+WL+332222218&amp;appflag=67.12" TargetMode="External"/><Relationship Id="rId297" Type="http://schemas.openxmlformats.org/officeDocument/2006/relationships/hyperlink" Target="https://www.copyright.gov/docs/musiclicensingstudy/copyright-and-the-music-marketplace.pdf" TargetMode="External"/><Relationship Id="rId40" Type="http://schemas.openxmlformats.org/officeDocument/2006/relationships/hyperlink" Target="http://www.westlaw.com/Link/Document/FullText?findType=Y&amp;serNum=2027818223&amp;pubNum=0004637&amp;originatingDoc=Id3df6529961311ebbb10beece37c6119&amp;refType=RP&amp;fi=co_pp_sp_4637_978&amp;originationContext=document&amp;vr=3.0&amp;rs=cblt1.0&amp;transitionType=DocumentItem&amp;contextData=(sc.Default)" TargetMode="External"/><Relationship Id="rId115" Type="http://schemas.openxmlformats.org/officeDocument/2006/relationships/hyperlink" Target="http://www.westlaw.com/Link/Document/FullText?findType=Y&amp;serNum=2030422816&amp;pubNum=0000506&amp;originatingDoc=Ie92beaa004f911ec81429451ea631beb&amp;refType=RP&amp;fi=co_pp_sp_506_707&amp;originationContext=document&amp;vr=3.0&amp;rs=cblt1.0&amp;transitionType=DocumentItem&amp;contextData=(sc.Default)" TargetMode="External"/><Relationship Id="rId136" Type="http://schemas.openxmlformats.org/officeDocument/2006/relationships/hyperlink" Target="http://www.westlaw.com/Link/Document/FullText?findType=Y&amp;serNum=2033553689&amp;pubNum=0000506&amp;originatingDoc=Ie92beaa004f911ec81429451ea631beb&amp;refType=RP&amp;fi=co_pp_sp_506_95&amp;originationContext=document&amp;vr=3.0&amp;rs=cblt1.0&amp;transitionType=DocumentItem&amp;contextData=(sc.Default)" TargetMode="External"/><Relationship Id="rId157" Type="http://schemas.openxmlformats.org/officeDocument/2006/relationships/hyperlink" Target="http://www.westlaw.com/Link/Document/FullText?findType=L&amp;pubNum=1000546&amp;cite=17USCAS101&amp;originatingDoc=Ie92beaa004f911ec81429451ea631beb&amp;refType=LQ&amp;originationContext=document&amp;vr=3.0&amp;rs=cblt1.0&amp;transitionType=DocumentItem&amp;contextData=(sc.Default)" TargetMode="External"/><Relationship Id="rId178" Type="http://schemas.openxmlformats.org/officeDocument/2006/relationships/hyperlink" Target="http://tiny.cc/3200vy" TargetMode="External"/><Relationship Id="rId301" Type="http://schemas.openxmlformats.org/officeDocument/2006/relationships/hyperlink" Target="http://www.westlaw.com/Link/Document/FullText?findType=L&amp;pubNum=1000546&amp;cite=28USCAS1821&amp;originatingDoc=I7fd33bb73e6c11e9bbbcd57aa014637b&amp;refType=LQ&amp;originationContext=document&amp;vr=3.0&amp;rs=cblt1.0&amp;transitionType=DocumentItem&amp;contextData=(sc.Sear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estlaw.com/Link/Document/FullText?findType=L&amp;pubNum=1000044&amp;cite=MNSTS645.16&amp;originatingDoc=I781e23cf888511eaa154dedcbee99b91&amp;refType=SP&amp;originationContext=document&amp;vr=3.0&amp;rs=cblt1.0&amp;transitionType=DocumentItem&amp;contextData=(sc.Default)" TargetMode="External"/><Relationship Id="rId2" Type="http://schemas.openxmlformats.org/officeDocument/2006/relationships/hyperlink" Target="http://www.westlaw.com/Link/Document/FullText?findType=L&amp;pubNum=1000256&amp;cite=IASTS4.6&amp;originatingDoc=I781e23cf888511eaa154dedcbee99b91&amp;refType=LQ&amp;originationContext=document&amp;vr=3.0&amp;rs=cblt1.0&amp;transitionType=DocumentItem&amp;contextData=(sc.Default)" TargetMode="External"/><Relationship Id="rId1" Type="http://schemas.openxmlformats.org/officeDocument/2006/relationships/hyperlink" Target="http://www.westlaw.com/Link/Document/FullText?findType=L&amp;pubNum=1000517&amp;cite=COSTS2-4-203&amp;originatingDoc=I781e23cf888511eaa154dedcbee99b91&amp;refType=SP&amp;originationContext=document&amp;vr=3.0&amp;rs=cblt1.0&amp;transitionType=DocumentItem&amp;contextData=(sc.Default)" TargetMode="External"/><Relationship Id="rId6" Type="http://schemas.openxmlformats.org/officeDocument/2006/relationships/hyperlink" Target="http://www.westlaw.com/Link/Document/FullText?findType=L&amp;pubNum=1000262&amp;cite=PA01S1921&amp;originatingDoc=I781e23cf888511eaa154dedcbee99b91&amp;refType=SP&amp;originationContext=document&amp;vr=3.0&amp;rs=cblt1.0&amp;transitionType=DocumentItem&amp;contextData=(sc.Default)" TargetMode="External"/><Relationship Id="rId5" Type="http://schemas.openxmlformats.org/officeDocument/2006/relationships/hyperlink" Target="http://www.westlaw.com/Link/Document/FullText?findType=L&amp;pubNum=1000279&amp;cite=OHSTS1.49&amp;originatingDoc=I781e23cf888511eaa154dedcbee99b91&amp;refType=SP&amp;originationContext=document&amp;vr=3.0&amp;rs=cblt1.0&amp;transitionType=DocumentItem&amp;contextData=(sc.Default)" TargetMode="External"/><Relationship Id="rId4" Type="http://schemas.openxmlformats.org/officeDocument/2006/relationships/hyperlink" Target="http://www.westlaw.com/Link/Document/FullText?findType=L&amp;pubNum=1000036&amp;cite=NMSTS12-2A-20&amp;originatingDoc=I781e23cf888511eaa154dedcbee99b91&amp;refType=LQ&amp;originationContext=document&amp;vr=3.0&amp;rs=cblt1.0&amp;transitionType=DocumentItem&amp;contextData=(sc.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B2F0B94-61DC-47AB-A789-C8AFF1C2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100</Pages>
  <Words>55587</Words>
  <Characters>316848</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Brauneis</dc:creator>
  <cp:keywords/>
  <dc:description/>
  <cp:lastModifiedBy>Robert Brauneis</cp:lastModifiedBy>
  <cp:revision>4</cp:revision>
  <cp:lastPrinted>2022-07-27T18:46:00Z</cp:lastPrinted>
  <dcterms:created xsi:type="dcterms:W3CDTF">2022-07-27T18:46:00Z</dcterms:created>
  <dcterms:modified xsi:type="dcterms:W3CDTF">2022-07-28T13:10:00Z</dcterms:modified>
</cp:coreProperties>
</file>